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ED64D">
      <w:pPr>
        <w:pStyle w:val="58"/>
        <w:ind w:firstLine="0"/>
        <w:jc w:val="center"/>
        <w:rPr>
          <w:rFonts w:hint="eastAsia" w:ascii="宋体" w:hAnsi="宋体"/>
          <w:b/>
          <w:kern w:val="2"/>
          <w:sz w:val="48"/>
          <w:szCs w:val="48"/>
        </w:rPr>
      </w:pPr>
    </w:p>
    <w:p w14:paraId="13585B0E">
      <w:pPr>
        <w:pStyle w:val="58"/>
        <w:ind w:firstLine="0"/>
        <w:jc w:val="center"/>
        <w:rPr>
          <w:rFonts w:ascii="宋体" w:cs="宋体"/>
          <w:b/>
          <w:sz w:val="48"/>
          <w:szCs w:val="48"/>
        </w:rPr>
      </w:pPr>
      <w:r>
        <w:rPr>
          <w:rFonts w:hint="eastAsia" w:ascii="宋体" w:hAnsi="宋体"/>
          <w:b/>
          <w:kern w:val="2"/>
          <w:sz w:val="48"/>
          <w:szCs w:val="48"/>
        </w:rPr>
        <w:t>如东水务集团有限公司安保等服务项目</w:t>
      </w:r>
    </w:p>
    <w:p w14:paraId="3FA9F064">
      <w:pPr>
        <w:pStyle w:val="58"/>
        <w:ind w:firstLine="0"/>
        <w:jc w:val="center"/>
        <w:rPr>
          <w:rFonts w:ascii="宋体" w:cs="宋体"/>
          <w:b/>
          <w:bCs/>
          <w:sz w:val="84"/>
          <w:szCs w:val="84"/>
        </w:rPr>
      </w:pPr>
    </w:p>
    <w:p w14:paraId="75781107">
      <w:pPr>
        <w:pStyle w:val="58"/>
        <w:ind w:firstLine="0"/>
        <w:jc w:val="center"/>
        <w:rPr>
          <w:rFonts w:ascii="宋体" w:cs="宋体"/>
          <w:b/>
          <w:bCs/>
          <w:sz w:val="84"/>
          <w:szCs w:val="84"/>
        </w:rPr>
      </w:pPr>
      <w:r>
        <w:rPr>
          <w:rFonts w:hint="eastAsia" w:ascii="宋体" w:hAnsi="宋体" w:cs="宋体"/>
          <w:b/>
          <w:bCs/>
          <w:sz w:val="84"/>
          <w:szCs w:val="84"/>
        </w:rPr>
        <w:t>招　标　文　件</w:t>
      </w:r>
    </w:p>
    <w:p w14:paraId="1A323E8B">
      <w:pPr>
        <w:pStyle w:val="58"/>
        <w:ind w:firstLine="0"/>
        <w:jc w:val="center"/>
        <w:rPr>
          <w:rFonts w:ascii="宋体" w:cs="宋体"/>
          <w:b/>
          <w:bCs/>
          <w:sz w:val="44"/>
          <w:szCs w:val="44"/>
        </w:rPr>
      </w:pPr>
    </w:p>
    <w:p w14:paraId="14961DDC">
      <w:pPr>
        <w:pStyle w:val="58"/>
        <w:ind w:firstLine="0"/>
        <w:jc w:val="center"/>
        <w:rPr>
          <w:rFonts w:ascii="宋体" w:cs="宋体"/>
          <w:b/>
          <w:bCs/>
          <w:sz w:val="44"/>
          <w:szCs w:val="44"/>
        </w:rPr>
      </w:pPr>
    </w:p>
    <w:p w14:paraId="5E043FB6">
      <w:pPr>
        <w:pStyle w:val="58"/>
        <w:ind w:firstLine="0"/>
        <w:jc w:val="center"/>
        <w:rPr>
          <w:rFonts w:ascii="宋体" w:cs="宋体"/>
          <w:b/>
          <w:bCs/>
          <w:sz w:val="44"/>
          <w:szCs w:val="44"/>
        </w:rPr>
      </w:pPr>
    </w:p>
    <w:p w14:paraId="640D0B32">
      <w:pPr>
        <w:pStyle w:val="58"/>
        <w:ind w:firstLine="0"/>
        <w:jc w:val="center"/>
        <w:rPr>
          <w:rFonts w:ascii="宋体" w:cs="宋体"/>
          <w:b/>
          <w:bCs/>
          <w:sz w:val="44"/>
          <w:szCs w:val="44"/>
        </w:rPr>
      </w:pPr>
    </w:p>
    <w:p w14:paraId="63737473">
      <w:pPr>
        <w:pStyle w:val="58"/>
        <w:ind w:firstLine="0"/>
        <w:jc w:val="center"/>
        <w:rPr>
          <w:rFonts w:ascii="宋体" w:cs="宋体"/>
          <w:b/>
          <w:bCs/>
          <w:sz w:val="44"/>
          <w:szCs w:val="44"/>
        </w:rPr>
      </w:pPr>
    </w:p>
    <w:p w14:paraId="5F474035">
      <w:pPr>
        <w:pStyle w:val="58"/>
        <w:ind w:firstLine="0"/>
        <w:jc w:val="center"/>
        <w:rPr>
          <w:rFonts w:ascii="宋体" w:cs="宋体"/>
          <w:b/>
          <w:bCs/>
          <w:sz w:val="44"/>
          <w:szCs w:val="44"/>
        </w:rPr>
      </w:pPr>
    </w:p>
    <w:p w14:paraId="4B7728B0">
      <w:pPr>
        <w:pStyle w:val="58"/>
        <w:ind w:firstLine="0"/>
        <w:jc w:val="center"/>
        <w:rPr>
          <w:rFonts w:ascii="宋体" w:cs="宋体"/>
          <w:b/>
          <w:bCs/>
          <w:sz w:val="44"/>
          <w:szCs w:val="44"/>
        </w:rPr>
      </w:pPr>
    </w:p>
    <w:p w14:paraId="2BB2F32A">
      <w:pPr>
        <w:pStyle w:val="58"/>
        <w:ind w:firstLine="0"/>
        <w:jc w:val="both"/>
        <w:rPr>
          <w:rFonts w:ascii="宋体" w:cs="宋体"/>
          <w:b/>
          <w:bCs/>
          <w:sz w:val="52"/>
          <w:szCs w:val="52"/>
        </w:rPr>
      </w:pPr>
    </w:p>
    <w:p w14:paraId="0B27540C">
      <w:pPr>
        <w:pStyle w:val="58"/>
        <w:ind w:firstLine="0"/>
        <w:jc w:val="both"/>
        <w:rPr>
          <w:rFonts w:hint="eastAsia" w:ascii="宋体" w:hAnsi="宋体" w:eastAsia="宋体"/>
          <w:b/>
          <w:kern w:val="2"/>
          <w:sz w:val="28"/>
          <w:szCs w:val="28"/>
          <w:u w:val="single"/>
          <w:lang w:val="en-US" w:eastAsia="zh-CN"/>
        </w:rPr>
      </w:pPr>
      <w:r>
        <w:rPr>
          <w:rFonts w:hint="eastAsia" w:ascii="宋体" w:hAnsi="宋体"/>
          <w:b/>
          <w:kern w:val="2"/>
          <w:sz w:val="28"/>
          <w:szCs w:val="28"/>
        </w:rPr>
        <w:t>采购项目名称：</w:t>
      </w:r>
      <w:r>
        <w:rPr>
          <w:rFonts w:hint="eastAsia" w:ascii="宋体" w:hAnsi="宋体"/>
          <w:b/>
          <w:kern w:val="2"/>
          <w:sz w:val="28"/>
          <w:szCs w:val="28"/>
          <w:u w:val="single"/>
        </w:rPr>
        <w:t xml:space="preserve"> 如东水务集团有限公司安保等服务项目</w:t>
      </w:r>
      <w:r>
        <w:rPr>
          <w:rFonts w:hint="eastAsia" w:ascii="宋体" w:hAnsi="宋体"/>
          <w:b/>
          <w:kern w:val="2"/>
          <w:sz w:val="28"/>
          <w:szCs w:val="28"/>
          <w:u w:val="single"/>
          <w:lang w:eastAsia="zh-CN"/>
        </w:rPr>
        <w:t>（第二次）</w:t>
      </w:r>
      <w:r>
        <w:rPr>
          <w:rFonts w:hint="eastAsia" w:ascii="宋体" w:hAnsi="宋体"/>
          <w:b/>
          <w:kern w:val="2"/>
          <w:sz w:val="28"/>
          <w:szCs w:val="28"/>
          <w:u w:val="single"/>
        </w:rPr>
        <w:t xml:space="preserve"> </w:t>
      </w:r>
      <w:r>
        <w:rPr>
          <w:rFonts w:hint="eastAsia" w:ascii="宋体" w:hAnsi="宋体"/>
          <w:b/>
          <w:kern w:val="2"/>
          <w:sz w:val="28"/>
          <w:szCs w:val="28"/>
          <w:u w:val="single"/>
          <w:lang w:val="en-US" w:eastAsia="zh-CN"/>
        </w:rPr>
        <w:t xml:space="preserve"> </w:t>
      </w:r>
    </w:p>
    <w:p w14:paraId="7ED01644">
      <w:pPr>
        <w:adjustRightInd w:val="0"/>
        <w:snapToGrid w:val="0"/>
        <w:spacing w:line="360" w:lineRule="auto"/>
        <w:rPr>
          <w:rFonts w:hint="eastAsia" w:ascii="宋体" w:hAnsi="宋体"/>
          <w:b/>
          <w:sz w:val="28"/>
          <w:szCs w:val="28"/>
          <w:u w:val="single"/>
        </w:rPr>
      </w:pPr>
      <w:r>
        <w:rPr>
          <w:rFonts w:hint="eastAsia" w:ascii="宋体" w:hAnsi="宋体"/>
          <w:b/>
          <w:sz w:val="28"/>
          <w:szCs w:val="28"/>
        </w:rPr>
        <w:t>采购单位名称：</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如东水务集团有限公司                      </w:t>
      </w:r>
    </w:p>
    <w:p w14:paraId="0FF31A9A">
      <w:pPr>
        <w:pStyle w:val="26"/>
        <w:adjustRightInd w:val="0"/>
        <w:snapToGrid w:val="0"/>
        <w:spacing w:after="0" w:line="360" w:lineRule="auto"/>
        <w:ind w:left="0" w:leftChars="0" w:firstLine="0" w:firstLineChars="0"/>
        <w:rPr>
          <w:sz w:val="28"/>
          <w:szCs w:val="28"/>
        </w:rPr>
      </w:pPr>
      <w:r>
        <w:rPr>
          <w:rFonts w:hint="eastAsia" w:ascii="宋体" w:hAnsi="宋体" w:cs="宋体"/>
          <w:b/>
          <w:bCs/>
          <w:sz w:val="28"/>
          <w:szCs w:val="28"/>
        </w:rPr>
        <w:t>代理单位名称：</w:t>
      </w:r>
      <w:r>
        <w:rPr>
          <w:rFonts w:hint="eastAsia" w:ascii="宋体" w:hAnsi="宋体" w:cs="宋体"/>
          <w:b/>
          <w:bCs/>
          <w:sz w:val="28"/>
          <w:szCs w:val="28"/>
          <w:u w:val="single"/>
        </w:rPr>
        <w:t xml:space="preserve">     </w:t>
      </w:r>
      <w:r>
        <w:rPr>
          <w:rFonts w:hint="eastAsia" w:ascii="宋体" w:hAnsi="宋体"/>
          <w:b/>
          <w:sz w:val="28"/>
          <w:szCs w:val="28"/>
          <w:u w:val="single"/>
        </w:rPr>
        <w:t xml:space="preserve">南通建仁房地产评估工程项目管理有限公司    </w:t>
      </w:r>
    </w:p>
    <w:p w14:paraId="7C504EFF">
      <w:pPr>
        <w:pStyle w:val="58"/>
        <w:tabs>
          <w:tab w:val="left" w:pos="2694"/>
        </w:tabs>
        <w:snapToGrid w:val="0"/>
        <w:spacing w:before="0" w:after="0"/>
        <w:ind w:firstLine="0"/>
        <w:jc w:val="both"/>
        <w:rPr>
          <w:rFonts w:ascii="宋体" w:cs="宋体"/>
          <w:b/>
          <w:bCs/>
          <w:sz w:val="28"/>
          <w:szCs w:val="28"/>
        </w:rPr>
      </w:pPr>
      <w:r>
        <w:rPr>
          <w:rFonts w:hint="eastAsia" w:ascii="宋体" w:hAnsi="宋体" w:cs="宋体"/>
          <w:b/>
          <w:bCs/>
          <w:sz w:val="28"/>
          <w:szCs w:val="28"/>
        </w:rPr>
        <w:t xml:space="preserve">采购方式： </w:t>
      </w:r>
      <w:r>
        <w:rPr>
          <w:rFonts w:hint="eastAsia" w:ascii="宋体" w:hAnsi="宋体" w:cs="宋体"/>
          <w:b/>
          <w:bCs/>
          <w:sz w:val="28"/>
          <w:szCs w:val="28"/>
          <w:u w:val="single"/>
        </w:rPr>
        <w:t xml:space="preserve">            公开招标                              </w:t>
      </w:r>
    </w:p>
    <w:p w14:paraId="2FF390A9">
      <w:pPr>
        <w:pStyle w:val="15"/>
        <w:spacing w:line="560" w:lineRule="exact"/>
        <w:ind w:firstLine="3012" w:firstLineChars="1000"/>
        <w:rPr>
          <w:rFonts w:ascii="宋体" w:cs="宋体"/>
        </w:rPr>
      </w:pPr>
      <w:r>
        <w:rPr>
          <w:rFonts w:hint="eastAsia" w:ascii="宋体" w:hAnsi="宋体" w:cs="宋体"/>
          <w:b/>
          <w:kern w:val="0"/>
          <w:sz w:val="30"/>
          <w:szCs w:val="30"/>
        </w:rPr>
        <w:t>二</w:t>
      </w:r>
      <w:r>
        <w:rPr>
          <w:rFonts w:hint="eastAsia" w:ascii="宋体" w:hAnsi="宋体" w:cs="宋体"/>
          <w:b/>
          <w:bCs/>
          <w:kern w:val="0"/>
          <w:sz w:val="30"/>
          <w:szCs w:val="30"/>
        </w:rPr>
        <w:t>〇</w:t>
      </w:r>
      <w:r>
        <w:rPr>
          <w:rFonts w:hint="eastAsia" w:ascii="宋体" w:hAnsi="宋体" w:cs="宋体"/>
          <w:b/>
          <w:kern w:val="0"/>
          <w:sz w:val="30"/>
          <w:szCs w:val="30"/>
        </w:rPr>
        <w:t>二</w:t>
      </w:r>
      <w:r>
        <w:rPr>
          <w:rFonts w:hint="eastAsia" w:ascii="宋体" w:hAnsi="宋体" w:cs="宋体"/>
          <w:b/>
          <w:kern w:val="0"/>
          <w:sz w:val="30"/>
          <w:szCs w:val="30"/>
          <w:lang w:eastAsia="zh-CN"/>
        </w:rPr>
        <w:t>五</w:t>
      </w:r>
      <w:r>
        <w:rPr>
          <w:rFonts w:hint="eastAsia" w:ascii="宋体" w:hAnsi="宋体" w:cs="宋体"/>
          <w:b/>
          <w:kern w:val="0"/>
          <w:sz w:val="30"/>
          <w:szCs w:val="30"/>
        </w:rPr>
        <w:t>年</w:t>
      </w:r>
      <w:r>
        <w:rPr>
          <w:rFonts w:hint="eastAsia" w:ascii="宋体" w:hAnsi="宋体"/>
          <w:b/>
          <w:sz w:val="30"/>
          <w:szCs w:val="30"/>
          <w:lang w:eastAsia="zh-CN"/>
        </w:rPr>
        <w:t>一</w:t>
      </w:r>
      <w:r>
        <w:rPr>
          <w:rFonts w:hint="eastAsia" w:ascii="宋体" w:hAnsi="宋体"/>
          <w:b/>
          <w:sz w:val="30"/>
          <w:szCs w:val="30"/>
        </w:rPr>
        <w:t>月</w:t>
      </w:r>
      <w:r>
        <w:rPr>
          <w:rFonts w:hint="eastAsia" w:ascii="宋体" w:hAnsi="宋体" w:cs="宋体"/>
          <w:b/>
          <w:kern w:val="0"/>
          <w:sz w:val="30"/>
          <w:szCs w:val="30"/>
        </w:rPr>
        <w:t xml:space="preserve"> </w:t>
      </w:r>
    </w:p>
    <w:p w14:paraId="0934126E">
      <w:pPr>
        <w:pStyle w:val="13"/>
        <w:ind w:left="1260"/>
        <w:sectPr>
          <w:headerReference r:id="rId4" w:type="first"/>
          <w:headerReference r:id="rId3" w:type="default"/>
          <w:footerReference r:id="rId5" w:type="default"/>
          <w:footerReference r:id="rId6" w:type="even"/>
          <w:pgSz w:w="11906" w:h="16838"/>
          <w:pgMar w:top="1440" w:right="1080" w:bottom="1440" w:left="1080" w:header="851" w:footer="1134" w:gutter="0"/>
          <w:pgNumType w:start="0"/>
          <w:cols w:space="720" w:num="1"/>
          <w:titlePg/>
          <w:docGrid w:type="lines" w:linePitch="290" w:charSpace="0"/>
        </w:sectPr>
      </w:pPr>
      <w:bookmarkStart w:id="0" w:name="_Toc120614210"/>
    </w:p>
    <w:p w14:paraId="0A7EB4DA"/>
    <w:p w14:paraId="39ECC1EC">
      <w:pPr>
        <w:jc w:val="center"/>
        <w:rPr>
          <w:rFonts w:ascii="宋体" w:cs="宋体"/>
          <w:b/>
          <w:sz w:val="44"/>
        </w:rPr>
      </w:pPr>
      <w:r>
        <w:rPr>
          <w:rFonts w:hint="eastAsia" w:ascii="宋体" w:hAnsi="宋体" w:cs="宋体"/>
          <w:b/>
          <w:sz w:val="44"/>
        </w:rPr>
        <w:t>总目录</w:t>
      </w:r>
    </w:p>
    <w:p w14:paraId="4AD85373">
      <w:pPr>
        <w:jc w:val="center"/>
        <w:rPr>
          <w:rFonts w:ascii="宋体" w:cs="宋体"/>
          <w:b/>
          <w:sz w:val="44"/>
        </w:rPr>
      </w:pPr>
    </w:p>
    <w:p w14:paraId="68063F03">
      <w:pPr>
        <w:pStyle w:val="20"/>
        <w:tabs>
          <w:tab w:val="right" w:leader="dot" w:pos="8943"/>
        </w:tabs>
        <w:spacing w:after="290"/>
        <w:jc w:val="center"/>
        <w:rPr>
          <w:rFonts w:ascii="宋体" w:cs="宋体"/>
          <w:b w:val="0"/>
          <w:bCs w:val="0"/>
          <w:caps w:val="0"/>
          <w:sz w:val="24"/>
          <w:szCs w:val="24"/>
        </w:rPr>
      </w:pPr>
      <w:r>
        <w:rPr>
          <w:rFonts w:ascii="宋体" w:hAnsi="宋体" w:cs="宋体"/>
          <w:bCs w:val="0"/>
          <w:caps w:val="0"/>
          <w:sz w:val="24"/>
          <w:szCs w:val="24"/>
        </w:rPr>
        <w:fldChar w:fldCharType="begin"/>
      </w:r>
      <w:r>
        <w:rPr>
          <w:rFonts w:ascii="宋体" w:hAnsi="宋体" w:cs="宋体"/>
          <w:bCs w:val="0"/>
          <w:caps w:val="0"/>
          <w:sz w:val="24"/>
          <w:szCs w:val="24"/>
        </w:rPr>
        <w:instrText xml:space="preserve"> TOC \o "1-1" \h \z \u </w:instrText>
      </w:r>
      <w:r>
        <w:rPr>
          <w:rFonts w:ascii="宋体" w:hAnsi="宋体" w:cs="宋体"/>
          <w:bCs w:val="0"/>
          <w:caps w:val="0"/>
          <w:sz w:val="24"/>
          <w:szCs w:val="24"/>
        </w:rPr>
        <w:fldChar w:fldCharType="separate"/>
      </w:r>
      <w:r>
        <w:fldChar w:fldCharType="begin"/>
      </w:r>
      <w:r>
        <w:instrText xml:space="preserve"> HYPERLINK \l "_Toc335124678" </w:instrText>
      </w:r>
      <w:r>
        <w:fldChar w:fldCharType="separate"/>
      </w:r>
      <w:r>
        <w:rPr>
          <w:rStyle w:val="37"/>
          <w:rFonts w:hint="eastAsia" w:ascii="宋体" w:hAnsi="宋体" w:cs="宋体"/>
          <w:color w:val="auto"/>
          <w:sz w:val="24"/>
          <w:szCs w:val="24"/>
        </w:rPr>
        <w:t>第一章招标公告</w:t>
      </w:r>
      <w:r>
        <w:rPr>
          <w:rFonts w:ascii="宋体" w:cs="宋体"/>
          <w:sz w:val="24"/>
          <w:szCs w:val="24"/>
        </w:rPr>
        <w:tab/>
      </w:r>
      <w:r>
        <w:rPr>
          <w:rFonts w:hint="eastAsia" w:ascii="宋体" w:hAnsi="宋体" w:cs="宋体"/>
          <w:sz w:val="24"/>
          <w:szCs w:val="24"/>
        </w:rPr>
        <w:t>1</w:t>
      </w:r>
      <w:r>
        <w:rPr>
          <w:rFonts w:hint="eastAsia" w:ascii="宋体" w:hAnsi="宋体" w:cs="宋体"/>
          <w:sz w:val="24"/>
          <w:szCs w:val="24"/>
        </w:rPr>
        <w:fldChar w:fldCharType="end"/>
      </w:r>
    </w:p>
    <w:p w14:paraId="52AC46EE">
      <w:pPr>
        <w:pStyle w:val="20"/>
        <w:tabs>
          <w:tab w:val="right" w:leader="dot" w:pos="8943"/>
        </w:tabs>
        <w:spacing w:after="290"/>
        <w:jc w:val="center"/>
        <w:rPr>
          <w:rStyle w:val="37"/>
          <w:rFonts w:ascii="宋体" w:cs="宋体"/>
          <w:b w:val="0"/>
          <w:bCs w:val="0"/>
          <w:caps w:val="0"/>
          <w:color w:val="auto"/>
          <w:sz w:val="24"/>
          <w:szCs w:val="24"/>
        </w:rPr>
      </w:pPr>
      <w:r>
        <w:rPr>
          <w:rStyle w:val="37"/>
          <w:rFonts w:ascii="宋体" w:hAnsi="宋体" w:cs="宋体"/>
          <w:color w:val="auto"/>
          <w:sz w:val="24"/>
          <w:szCs w:val="24"/>
        </w:rPr>
        <w:fldChar w:fldCharType="begin"/>
      </w:r>
      <w:r>
        <w:rPr>
          <w:rStyle w:val="37"/>
          <w:rFonts w:ascii="宋体" w:hAnsi="宋体" w:cs="宋体"/>
          <w:color w:val="auto"/>
          <w:sz w:val="24"/>
          <w:szCs w:val="24"/>
        </w:rPr>
        <w:instrText xml:space="preserve"> HYPERLINK  \l "_1</w:instrText>
      </w:r>
      <w:r>
        <w:rPr>
          <w:rStyle w:val="37"/>
          <w:rFonts w:hint="eastAsia" w:ascii="宋体" w:hAnsi="宋体" w:cs="宋体"/>
          <w:color w:val="auto"/>
          <w:sz w:val="24"/>
          <w:szCs w:val="24"/>
        </w:rPr>
        <w:instrText xml:space="preserve">．招标方式</w:instrText>
      </w:r>
      <w:r>
        <w:rPr>
          <w:rStyle w:val="37"/>
          <w:rFonts w:ascii="宋体" w:hAnsi="宋体" w:cs="宋体"/>
          <w:color w:val="auto"/>
          <w:sz w:val="24"/>
          <w:szCs w:val="24"/>
        </w:rPr>
        <w:instrText xml:space="preserve">"</w:instrText>
      </w:r>
      <w:r>
        <w:rPr>
          <w:rStyle w:val="37"/>
          <w:rFonts w:ascii="宋体" w:hAnsi="宋体" w:cs="宋体"/>
          <w:color w:val="auto"/>
          <w:sz w:val="24"/>
          <w:szCs w:val="24"/>
        </w:rPr>
        <w:fldChar w:fldCharType="separate"/>
      </w:r>
      <w:r>
        <w:rPr>
          <w:rStyle w:val="37"/>
          <w:rFonts w:hint="eastAsia" w:ascii="宋体" w:hAnsi="宋体" w:cs="宋体"/>
          <w:color w:val="auto"/>
          <w:sz w:val="24"/>
          <w:szCs w:val="24"/>
        </w:rPr>
        <w:t>第二章投</w:t>
      </w:r>
      <w:bookmarkStart w:id="1" w:name="_Hlt358830030"/>
      <w:r>
        <w:rPr>
          <w:rStyle w:val="37"/>
          <w:rFonts w:hint="eastAsia" w:ascii="宋体" w:hAnsi="宋体" w:cs="宋体"/>
          <w:color w:val="auto"/>
          <w:sz w:val="24"/>
          <w:szCs w:val="24"/>
        </w:rPr>
        <w:t>标</w:t>
      </w:r>
      <w:bookmarkEnd w:id="1"/>
      <w:bookmarkStart w:id="2" w:name="_Hlt358830243"/>
      <w:r>
        <w:rPr>
          <w:rStyle w:val="37"/>
          <w:rFonts w:hint="eastAsia" w:ascii="宋体" w:hAnsi="宋体" w:cs="宋体"/>
          <w:color w:val="auto"/>
          <w:sz w:val="24"/>
          <w:szCs w:val="24"/>
        </w:rPr>
        <w:t>人</w:t>
      </w:r>
      <w:bookmarkEnd w:id="2"/>
      <w:bookmarkStart w:id="3" w:name="_Hlt379122886"/>
      <w:bookmarkStart w:id="4" w:name="_Hlt358830016"/>
      <w:bookmarkStart w:id="5" w:name="_Hlt358830017"/>
      <w:r>
        <w:rPr>
          <w:rStyle w:val="37"/>
          <w:rFonts w:hint="eastAsia" w:ascii="宋体" w:hAnsi="宋体" w:cs="宋体"/>
          <w:color w:val="auto"/>
          <w:sz w:val="24"/>
          <w:szCs w:val="24"/>
        </w:rPr>
        <w:t>须</w:t>
      </w:r>
      <w:bookmarkEnd w:id="3"/>
      <w:bookmarkEnd w:id="4"/>
      <w:bookmarkEnd w:id="5"/>
      <w:r>
        <w:rPr>
          <w:rStyle w:val="37"/>
          <w:rFonts w:hint="eastAsia" w:ascii="宋体" w:hAnsi="宋体" w:cs="宋体"/>
          <w:color w:val="auto"/>
          <w:sz w:val="24"/>
          <w:szCs w:val="24"/>
        </w:rPr>
        <w:t>知</w:t>
      </w:r>
      <w:bookmarkStart w:id="6" w:name="_Hlt358830201"/>
      <w:r>
        <w:rPr>
          <w:rStyle w:val="37"/>
          <w:rFonts w:ascii="宋体" w:cs="宋体"/>
          <w:color w:val="auto"/>
          <w:sz w:val="24"/>
          <w:szCs w:val="24"/>
        </w:rPr>
        <w:tab/>
      </w:r>
      <w:bookmarkEnd w:id="6"/>
      <w:r>
        <w:rPr>
          <w:rStyle w:val="37"/>
          <w:rFonts w:hint="eastAsia" w:ascii="宋体" w:hAnsi="宋体" w:cs="宋体"/>
          <w:color w:val="auto"/>
          <w:sz w:val="24"/>
          <w:szCs w:val="24"/>
        </w:rPr>
        <w:t>4</w:t>
      </w:r>
    </w:p>
    <w:p w14:paraId="362A076E">
      <w:pPr>
        <w:pStyle w:val="20"/>
        <w:tabs>
          <w:tab w:val="right" w:leader="dot" w:pos="8943"/>
        </w:tabs>
        <w:spacing w:after="290"/>
        <w:jc w:val="center"/>
        <w:rPr>
          <w:rFonts w:ascii="宋体" w:cs="宋体"/>
          <w:b w:val="0"/>
          <w:bCs w:val="0"/>
          <w:caps w:val="0"/>
          <w:sz w:val="24"/>
          <w:szCs w:val="24"/>
        </w:rPr>
      </w:pPr>
      <w:r>
        <w:rPr>
          <w:rStyle w:val="37"/>
          <w:rFonts w:ascii="宋体" w:hAnsi="宋体" w:cs="宋体"/>
          <w:color w:val="auto"/>
          <w:sz w:val="24"/>
          <w:szCs w:val="24"/>
        </w:rPr>
        <w:fldChar w:fldCharType="end"/>
      </w:r>
      <w:r>
        <w:fldChar w:fldCharType="begin"/>
      </w:r>
      <w:r>
        <w:instrText xml:space="preserve"> HYPERLINK \l "_Toc335124681" </w:instrText>
      </w:r>
      <w:r>
        <w:fldChar w:fldCharType="separate"/>
      </w:r>
      <w:r>
        <w:rPr>
          <w:rStyle w:val="37"/>
          <w:rFonts w:hint="eastAsia" w:ascii="宋体" w:hAnsi="宋体" w:cs="宋体"/>
          <w:color w:val="auto"/>
          <w:sz w:val="24"/>
          <w:szCs w:val="24"/>
        </w:rPr>
        <w:t>第三章项目需求</w:t>
      </w:r>
      <w:r>
        <w:rPr>
          <w:rFonts w:ascii="宋体" w:cs="宋体"/>
          <w:sz w:val="24"/>
          <w:szCs w:val="24"/>
        </w:rPr>
        <w:tab/>
      </w:r>
      <w:r>
        <w:rPr>
          <w:rFonts w:ascii="宋体" w:cs="宋体"/>
          <w:sz w:val="24"/>
          <w:szCs w:val="24"/>
        </w:rPr>
        <w:fldChar w:fldCharType="end"/>
      </w:r>
      <w:r>
        <w:rPr>
          <w:rFonts w:hint="eastAsia" w:ascii="宋体" w:hAnsi="宋体" w:cs="宋体"/>
          <w:sz w:val="24"/>
          <w:szCs w:val="24"/>
        </w:rPr>
        <w:t>15</w:t>
      </w:r>
    </w:p>
    <w:p w14:paraId="056BE12E">
      <w:pPr>
        <w:pStyle w:val="20"/>
        <w:tabs>
          <w:tab w:val="right" w:leader="dot" w:pos="8943"/>
        </w:tabs>
        <w:spacing w:after="290"/>
        <w:jc w:val="center"/>
        <w:rPr>
          <w:rFonts w:ascii="宋体" w:cs="宋体"/>
          <w:b w:val="0"/>
          <w:bCs w:val="0"/>
          <w:caps w:val="0"/>
          <w:sz w:val="24"/>
          <w:szCs w:val="24"/>
        </w:rPr>
      </w:pPr>
      <w:r>
        <w:fldChar w:fldCharType="begin"/>
      </w:r>
      <w:r>
        <w:instrText xml:space="preserve"> HYPERLINK \l "_Toc335124682" </w:instrText>
      </w:r>
      <w:r>
        <w:fldChar w:fldCharType="separate"/>
      </w:r>
      <w:r>
        <w:rPr>
          <w:rStyle w:val="37"/>
          <w:rFonts w:hint="eastAsia" w:ascii="宋体" w:hAnsi="宋体" w:cs="宋体"/>
          <w:color w:val="auto"/>
          <w:sz w:val="24"/>
          <w:szCs w:val="24"/>
        </w:rPr>
        <w:t>第四</w:t>
      </w:r>
      <w:bookmarkStart w:id="7" w:name="_Hlt356406557"/>
      <w:r>
        <w:rPr>
          <w:rStyle w:val="37"/>
          <w:rFonts w:hint="eastAsia" w:ascii="宋体" w:hAnsi="宋体" w:cs="宋体"/>
          <w:color w:val="auto"/>
          <w:sz w:val="24"/>
          <w:szCs w:val="24"/>
        </w:rPr>
        <w:t>章</w:t>
      </w:r>
      <w:bookmarkEnd w:id="7"/>
      <w:r>
        <w:rPr>
          <w:rStyle w:val="37"/>
          <w:rFonts w:hint="eastAsia" w:ascii="宋体" w:hAnsi="宋体" w:cs="宋体"/>
          <w:color w:val="auto"/>
          <w:sz w:val="24"/>
          <w:szCs w:val="24"/>
        </w:rPr>
        <w:t>评标方法</w:t>
      </w:r>
      <w:bookmarkStart w:id="8" w:name="_Hlt365380761"/>
      <w:r>
        <w:rPr>
          <w:rStyle w:val="37"/>
          <w:rFonts w:hint="eastAsia" w:ascii="宋体" w:hAnsi="宋体" w:cs="宋体"/>
          <w:color w:val="auto"/>
          <w:sz w:val="24"/>
          <w:szCs w:val="24"/>
        </w:rPr>
        <w:t>与</w:t>
      </w:r>
      <w:bookmarkEnd w:id="8"/>
      <w:bookmarkStart w:id="9" w:name="_Hlt380502802"/>
      <w:r>
        <w:rPr>
          <w:rStyle w:val="37"/>
          <w:rFonts w:hint="eastAsia" w:ascii="宋体" w:hAnsi="宋体" w:cs="宋体"/>
          <w:color w:val="auto"/>
          <w:sz w:val="24"/>
          <w:szCs w:val="24"/>
        </w:rPr>
        <w:t>评</w:t>
      </w:r>
      <w:bookmarkEnd w:id="9"/>
      <w:bookmarkStart w:id="10" w:name="_Hlt379122865"/>
      <w:r>
        <w:rPr>
          <w:rStyle w:val="37"/>
          <w:rFonts w:hint="eastAsia" w:ascii="宋体" w:hAnsi="宋体" w:cs="宋体"/>
          <w:color w:val="auto"/>
          <w:sz w:val="24"/>
          <w:szCs w:val="24"/>
        </w:rPr>
        <w:t>标</w:t>
      </w:r>
      <w:bookmarkEnd w:id="10"/>
      <w:bookmarkStart w:id="11" w:name="_Hlt428890716"/>
      <w:bookmarkStart w:id="12" w:name="_Hlt428890717"/>
      <w:r>
        <w:rPr>
          <w:rStyle w:val="37"/>
          <w:rFonts w:hint="eastAsia" w:ascii="宋体" w:hAnsi="宋体" w:cs="宋体"/>
          <w:color w:val="auto"/>
          <w:sz w:val="24"/>
          <w:szCs w:val="24"/>
        </w:rPr>
        <w:t>标</w:t>
      </w:r>
      <w:bookmarkEnd w:id="11"/>
      <w:bookmarkEnd w:id="12"/>
      <w:bookmarkStart w:id="13" w:name="_Hlt365380781"/>
      <w:r>
        <w:rPr>
          <w:rStyle w:val="37"/>
          <w:rFonts w:hint="eastAsia" w:ascii="宋体" w:hAnsi="宋体" w:cs="宋体"/>
          <w:color w:val="auto"/>
          <w:sz w:val="24"/>
          <w:szCs w:val="24"/>
        </w:rPr>
        <w:t>准</w:t>
      </w:r>
      <w:bookmarkEnd w:id="13"/>
      <w:bookmarkStart w:id="14" w:name="_Hlt363208564"/>
      <w:bookmarkStart w:id="15" w:name="_Hlt356291596"/>
      <w:r>
        <w:rPr>
          <w:rFonts w:ascii="宋体" w:cs="宋体"/>
          <w:sz w:val="24"/>
          <w:szCs w:val="24"/>
        </w:rPr>
        <w:tab/>
      </w:r>
      <w:bookmarkEnd w:id="14"/>
      <w:bookmarkEnd w:id="15"/>
      <w:r>
        <w:rPr>
          <w:rFonts w:ascii="宋体" w:cs="宋体"/>
          <w:sz w:val="24"/>
          <w:szCs w:val="24"/>
        </w:rPr>
        <w:fldChar w:fldCharType="end"/>
      </w:r>
      <w:r>
        <w:rPr>
          <w:rStyle w:val="37"/>
          <w:rFonts w:hint="eastAsia" w:ascii="宋体" w:hAnsi="宋体" w:cs="宋体"/>
          <w:color w:val="auto"/>
          <w:sz w:val="24"/>
          <w:szCs w:val="24"/>
          <w:u w:val="none"/>
        </w:rPr>
        <w:t>20</w:t>
      </w:r>
    </w:p>
    <w:p w14:paraId="16AA4980">
      <w:pPr>
        <w:pStyle w:val="20"/>
        <w:tabs>
          <w:tab w:val="right" w:leader="dot" w:pos="8943"/>
        </w:tabs>
        <w:spacing w:after="290"/>
        <w:jc w:val="center"/>
        <w:rPr>
          <w:rStyle w:val="37"/>
          <w:rFonts w:hint="eastAsia" w:ascii="宋体" w:hAnsi="宋体" w:cs="宋体"/>
          <w:color w:val="auto"/>
          <w:sz w:val="24"/>
          <w:szCs w:val="24"/>
          <w:u w:val="none"/>
        </w:rPr>
      </w:pPr>
      <w:r>
        <w:fldChar w:fldCharType="begin"/>
      </w:r>
      <w:r>
        <w:instrText xml:space="preserve"> HYPERLINK \l "_Toc335124683" </w:instrText>
      </w:r>
      <w:r>
        <w:fldChar w:fldCharType="separate"/>
      </w:r>
      <w:r>
        <w:rPr>
          <w:rStyle w:val="37"/>
          <w:rFonts w:hint="eastAsia" w:ascii="宋体" w:hAnsi="宋体" w:cs="宋体"/>
          <w:color w:val="auto"/>
          <w:sz w:val="24"/>
          <w:szCs w:val="24"/>
        </w:rPr>
        <w:t>第五章投标文</w:t>
      </w:r>
      <w:bookmarkStart w:id="16" w:name="_Hlt365380788"/>
      <w:r>
        <w:rPr>
          <w:rStyle w:val="37"/>
          <w:rFonts w:hint="eastAsia" w:ascii="宋体" w:hAnsi="宋体" w:cs="宋体"/>
          <w:color w:val="auto"/>
          <w:sz w:val="24"/>
          <w:szCs w:val="24"/>
        </w:rPr>
        <w:t>件</w:t>
      </w:r>
      <w:bookmarkEnd w:id="16"/>
      <w:bookmarkStart w:id="17" w:name="_Hlt380654210"/>
      <w:bookmarkStart w:id="18" w:name="_Hlt379122848"/>
      <w:bookmarkStart w:id="19" w:name="_Hlt379122847"/>
      <w:r>
        <w:rPr>
          <w:rStyle w:val="37"/>
          <w:rFonts w:hint="eastAsia" w:ascii="宋体" w:hAnsi="宋体" w:cs="宋体"/>
          <w:color w:val="auto"/>
          <w:sz w:val="24"/>
          <w:szCs w:val="24"/>
        </w:rPr>
        <w:t>格</w:t>
      </w:r>
      <w:bookmarkEnd w:id="17"/>
      <w:bookmarkEnd w:id="18"/>
      <w:bookmarkEnd w:id="19"/>
      <w:bookmarkStart w:id="20" w:name="_Hlt365999235"/>
      <w:r>
        <w:rPr>
          <w:rStyle w:val="37"/>
          <w:rFonts w:hint="eastAsia" w:ascii="宋体" w:hAnsi="宋体" w:cs="宋体"/>
          <w:color w:val="auto"/>
          <w:sz w:val="24"/>
          <w:szCs w:val="24"/>
        </w:rPr>
        <w:t>式</w:t>
      </w:r>
      <w:bookmarkEnd w:id="20"/>
      <w:bookmarkStart w:id="21" w:name="_Hlt363208590"/>
      <w:bookmarkStart w:id="22" w:name="_Hlt363208613"/>
      <w:bookmarkStart w:id="23" w:name="_Hlt365821434"/>
      <w:bookmarkStart w:id="24" w:name="_Hlt365821433"/>
      <w:r>
        <w:rPr>
          <w:rFonts w:ascii="宋体" w:cs="宋体"/>
          <w:sz w:val="24"/>
          <w:szCs w:val="24"/>
        </w:rPr>
        <w:tab/>
      </w:r>
      <w:bookmarkEnd w:id="21"/>
      <w:bookmarkEnd w:id="22"/>
      <w:bookmarkEnd w:id="23"/>
      <w:bookmarkEnd w:id="24"/>
      <w:r>
        <w:rPr>
          <w:rFonts w:ascii="宋体" w:cs="宋体"/>
          <w:sz w:val="24"/>
          <w:szCs w:val="24"/>
        </w:rPr>
        <w:fldChar w:fldCharType="end"/>
      </w:r>
      <w:r>
        <w:rPr>
          <w:rStyle w:val="37"/>
          <w:rFonts w:hint="eastAsia" w:ascii="宋体" w:hAnsi="宋体" w:cs="宋体"/>
          <w:color w:val="auto"/>
          <w:sz w:val="24"/>
          <w:szCs w:val="24"/>
          <w:u w:val="none"/>
        </w:rPr>
        <w:t>24</w:t>
      </w:r>
    </w:p>
    <w:p w14:paraId="1DD27849">
      <w:pPr>
        <w:pStyle w:val="20"/>
        <w:tabs>
          <w:tab w:val="right" w:leader="dot" w:pos="8943"/>
        </w:tabs>
        <w:spacing w:after="290"/>
        <w:jc w:val="center"/>
        <w:rPr>
          <w:rStyle w:val="37"/>
          <w:rFonts w:hint="eastAsia" w:ascii="宋体" w:hAnsi="宋体" w:cs="宋体"/>
          <w:color w:val="auto"/>
          <w:sz w:val="24"/>
          <w:szCs w:val="24"/>
          <w:u w:val="none"/>
        </w:rPr>
      </w:pPr>
      <w:r>
        <w:fldChar w:fldCharType="begin"/>
      </w:r>
      <w:r>
        <w:instrText xml:space="preserve"> HYPERLINK \l "_Toc335124683" </w:instrText>
      </w:r>
      <w:r>
        <w:fldChar w:fldCharType="separate"/>
      </w:r>
      <w:r>
        <w:rPr>
          <w:rStyle w:val="37"/>
          <w:rFonts w:hint="eastAsia" w:ascii="宋体" w:hAnsi="宋体" w:cs="宋体"/>
          <w:color w:val="auto"/>
          <w:sz w:val="24"/>
          <w:szCs w:val="24"/>
        </w:rPr>
        <w:t>第六章合同</w:t>
      </w:r>
      <w:r>
        <w:rPr>
          <w:rFonts w:ascii="宋体" w:cs="宋体"/>
          <w:sz w:val="24"/>
          <w:szCs w:val="24"/>
        </w:rPr>
        <w:tab/>
      </w:r>
      <w:r>
        <w:rPr>
          <w:rFonts w:ascii="宋体" w:cs="宋体"/>
          <w:sz w:val="24"/>
          <w:szCs w:val="24"/>
        </w:rPr>
        <w:fldChar w:fldCharType="end"/>
      </w:r>
      <w:r>
        <w:rPr>
          <w:rFonts w:hint="eastAsia" w:ascii="宋体" w:cs="宋体"/>
          <w:sz w:val="24"/>
          <w:szCs w:val="24"/>
        </w:rPr>
        <w:t>35</w:t>
      </w:r>
    </w:p>
    <w:p w14:paraId="2E5D589F"/>
    <w:p w14:paraId="4E1D85E8">
      <w:pPr>
        <w:rPr>
          <w:rFonts w:ascii="宋体" w:cs="宋体"/>
        </w:rPr>
      </w:pPr>
      <w:r>
        <w:rPr>
          <w:rFonts w:ascii="宋体" w:hAnsi="宋体" w:cs="宋体"/>
          <w:bCs/>
          <w:caps/>
          <w:sz w:val="24"/>
          <w:szCs w:val="24"/>
        </w:rPr>
        <w:fldChar w:fldCharType="end"/>
      </w:r>
    </w:p>
    <w:bookmarkEnd w:id="0"/>
    <w:p w14:paraId="171F1AD1">
      <w:pPr>
        <w:pStyle w:val="57"/>
        <w:spacing w:afterLines="0" w:line="460" w:lineRule="exact"/>
        <w:ind w:firstLine="480"/>
        <w:rPr>
          <w:rFonts w:hint="eastAsia" w:ascii="宋体" w:hAnsi="宋体" w:eastAsia="宋体" w:cs="宋体"/>
        </w:rPr>
        <w:sectPr>
          <w:footerReference r:id="rId8" w:type="first"/>
          <w:footerReference r:id="rId7" w:type="default"/>
          <w:pgSz w:w="11906" w:h="16838"/>
          <w:pgMar w:top="1440" w:right="1080" w:bottom="1440" w:left="1080" w:header="851" w:footer="1134" w:gutter="0"/>
          <w:pgNumType w:start="1"/>
          <w:cols w:space="720" w:num="1"/>
          <w:docGrid w:type="lines" w:linePitch="290" w:charSpace="0"/>
        </w:sectPr>
      </w:pPr>
      <w:bookmarkStart w:id="25" w:name="_Toc335123850"/>
      <w:bookmarkStart w:id="26" w:name="_Toc307561707"/>
      <w:bookmarkStart w:id="27" w:name="_Toc335124678"/>
    </w:p>
    <w:bookmarkEnd w:id="25"/>
    <w:bookmarkEnd w:id="26"/>
    <w:bookmarkEnd w:id="27"/>
    <w:p w14:paraId="67EB4D09">
      <w:pPr>
        <w:pStyle w:val="57"/>
        <w:spacing w:afterLines="0" w:line="460" w:lineRule="exact"/>
        <w:rPr>
          <w:rFonts w:hint="eastAsia" w:ascii="宋体" w:hAnsi="宋体" w:eastAsia="宋体" w:cs="宋体"/>
        </w:rPr>
      </w:pPr>
      <w:r>
        <w:rPr>
          <w:rFonts w:hint="eastAsia" w:ascii="宋体" w:hAnsi="宋体" w:eastAsia="宋体" w:cs="宋体"/>
        </w:rPr>
        <w:t>第一章  招标公告</w:t>
      </w:r>
    </w:p>
    <w:p w14:paraId="48F741D6">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bCs/>
          <w:sz w:val="24"/>
          <w:szCs w:val="24"/>
        </w:rPr>
      </w:pPr>
      <w:r>
        <w:rPr>
          <w:rFonts w:hint="eastAsia" w:ascii="宋体" w:hAnsi="宋体" w:cs="宋体"/>
          <w:bCs/>
          <w:sz w:val="24"/>
          <w:szCs w:val="24"/>
        </w:rPr>
        <w:t>受如东水务集团有限公司的委托，南通建仁房地产评估工程项目管理有限公司就</w:t>
      </w:r>
      <w:r>
        <w:rPr>
          <w:rFonts w:hint="eastAsia" w:ascii="宋体" w:hAnsi="宋体"/>
          <w:sz w:val="24"/>
          <w:szCs w:val="24"/>
          <w:u w:val="single"/>
        </w:rPr>
        <w:t xml:space="preserve">如东水务集团有限公司安保等服务项目 </w:t>
      </w:r>
      <w:r>
        <w:rPr>
          <w:rFonts w:hint="eastAsia" w:ascii="宋体" w:hAnsi="宋体" w:cs="宋体"/>
          <w:bCs/>
          <w:sz w:val="24"/>
          <w:szCs w:val="24"/>
        </w:rPr>
        <w:t>进行公开招标采购，欢迎符合条件的供应商投标。</w:t>
      </w:r>
    </w:p>
    <w:p w14:paraId="50A59A5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b/>
          <w:sz w:val="24"/>
          <w:szCs w:val="24"/>
        </w:rPr>
      </w:pPr>
      <w:r>
        <w:rPr>
          <w:rFonts w:hint="eastAsia" w:ascii="宋体" w:hAnsi="宋体"/>
          <w:b/>
          <w:sz w:val="24"/>
          <w:szCs w:val="24"/>
        </w:rPr>
        <w:t>项目概况</w:t>
      </w:r>
    </w:p>
    <w:p w14:paraId="7C1ECF26">
      <w:pPr>
        <w:pStyle w:val="26"/>
        <w:keepNext w:val="0"/>
        <w:keepLines w:val="0"/>
        <w:pageBreakBefore w:val="0"/>
        <w:widowControl w:val="0"/>
        <w:kinsoku/>
        <w:wordWrap/>
        <w:overflowPunct/>
        <w:topLinePunct w:val="0"/>
        <w:autoSpaceDE/>
        <w:autoSpaceDN/>
        <w:bidi w:val="0"/>
        <w:spacing w:line="400" w:lineRule="exact"/>
        <w:ind w:left="0" w:leftChars="0" w:firstLine="480"/>
        <w:textAlignment w:val="auto"/>
        <w:rPr>
          <w:rFonts w:ascii="宋体"/>
          <w:b/>
          <w:bCs/>
          <w:sz w:val="24"/>
          <w:szCs w:val="24"/>
        </w:rPr>
      </w:pPr>
      <w:r>
        <w:rPr>
          <w:rFonts w:hint="eastAsia" w:ascii="宋体" w:hAnsi="宋体"/>
          <w:sz w:val="24"/>
          <w:szCs w:val="24"/>
          <w:u w:val="single"/>
        </w:rPr>
        <w:t xml:space="preserve">如东水务集团有限公司安保等服务项目 </w:t>
      </w:r>
      <w:r>
        <w:rPr>
          <w:rFonts w:hint="eastAsia" w:ascii="宋体" w:hAnsi="宋体"/>
          <w:sz w:val="24"/>
          <w:szCs w:val="24"/>
        </w:rPr>
        <w:t>的潜在投标人应登陆</w:t>
      </w:r>
      <w:r>
        <w:rPr>
          <w:rFonts w:hint="eastAsia" w:ascii="宋体" w:hAnsi="宋体"/>
          <w:sz w:val="24"/>
          <w:szCs w:val="24"/>
          <w:u w:val="single"/>
        </w:rPr>
        <w:t xml:space="preserve">“如东县限额交易网” </w:t>
      </w:r>
      <w:r>
        <w:rPr>
          <w:rFonts w:hint="eastAsia" w:ascii="宋体" w:hAnsi="宋体"/>
          <w:sz w:val="24"/>
          <w:szCs w:val="24"/>
        </w:rPr>
        <w:t>下载获取招标文件，</w:t>
      </w:r>
      <w:r>
        <w:rPr>
          <w:rFonts w:hint="eastAsia" w:ascii="宋体" w:hAnsi="宋体"/>
          <w:b/>
          <w:bCs/>
          <w:sz w:val="24"/>
          <w:szCs w:val="24"/>
        </w:rPr>
        <w:t>并于202</w:t>
      </w:r>
      <w:r>
        <w:rPr>
          <w:rFonts w:hint="eastAsia" w:ascii="宋体" w:hAnsi="宋体"/>
          <w:b/>
          <w:bCs/>
          <w:sz w:val="24"/>
          <w:szCs w:val="24"/>
          <w:lang w:val="en-US" w:eastAsia="zh-CN"/>
        </w:rPr>
        <w:t>5</w:t>
      </w:r>
      <w:r>
        <w:rPr>
          <w:rFonts w:hint="eastAsia" w:ascii="宋体" w:hAnsi="宋体"/>
          <w:b/>
          <w:bCs/>
          <w:sz w:val="24"/>
          <w:szCs w:val="24"/>
        </w:rPr>
        <w:t xml:space="preserve">年 </w:t>
      </w:r>
      <w:r>
        <w:rPr>
          <w:rFonts w:hint="eastAsia" w:ascii="宋体" w:hAnsi="宋体"/>
          <w:b/>
          <w:bCs/>
          <w:sz w:val="24"/>
          <w:szCs w:val="24"/>
          <w:lang w:val="en-US" w:eastAsia="zh-CN"/>
        </w:rPr>
        <w:t>2</w:t>
      </w:r>
      <w:r>
        <w:rPr>
          <w:rFonts w:hint="eastAsia" w:ascii="宋体" w:hAnsi="宋体"/>
          <w:b/>
          <w:bCs/>
          <w:sz w:val="24"/>
          <w:szCs w:val="24"/>
        </w:rPr>
        <w:t xml:space="preserve">月 </w:t>
      </w:r>
      <w:r>
        <w:rPr>
          <w:rFonts w:hint="eastAsia" w:ascii="宋体" w:hAnsi="宋体"/>
          <w:b/>
          <w:bCs/>
          <w:sz w:val="24"/>
          <w:szCs w:val="24"/>
          <w:lang w:val="en-US" w:eastAsia="zh-CN"/>
        </w:rPr>
        <w:t>8</w:t>
      </w:r>
      <w:r>
        <w:rPr>
          <w:rFonts w:hint="eastAsia" w:ascii="宋体" w:hAnsi="宋体"/>
          <w:b/>
          <w:bCs/>
          <w:sz w:val="24"/>
          <w:szCs w:val="24"/>
        </w:rPr>
        <w:t xml:space="preserve"> 日上午9点00分（北京时间）前递交投标文件。</w:t>
      </w:r>
    </w:p>
    <w:p w14:paraId="44FDD2F3">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ascii="宋体"/>
          <w:sz w:val="24"/>
          <w:szCs w:val="24"/>
        </w:rPr>
      </w:pPr>
      <w:r>
        <w:rPr>
          <w:rFonts w:hint="eastAsia" w:ascii="宋体" w:hAnsi="宋体"/>
          <w:b/>
          <w:sz w:val="24"/>
          <w:szCs w:val="24"/>
        </w:rPr>
        <w:t>一、项目基本情况</w:t>
      </w:r>
    </w:p>
    <w:p w14:paraId="58928EB7">
      <w:pPr>
        <w:adjustRightInd w:val="0"/>
        <w:snapToGrid w:val="0"/>
        <w:spacing w:line="360" w:lineRule="auto"/>
        <w:ind w:firstLine="480" w:firstLineChars="200"/>
        <w:rPr>
          <w:rFonts w:ascii="宋体"/>
          <w:bCs/>
          <w:sz w:val="24"/>
          <w:szCs w:val="24"/>
        </w:rPr>
      </w:pPr>
      <w:r>
        <w:rPr>
          <w:rFonts w:hint="eastAsia" w:ascii="宋体" w:hAnsi="宋体"/>
          <w:sz w:val="24"/>
          <w:szCs w:val="24"/>
        </w:rPr>
        <w:t>1.项目名称：</w:t>
      </w:r>
      <w:r>
        <w:rPr>
          <w:rFonts w:hint="eastAsia" w:ascii="宋体" w:hAnsi="宋体"/>
          <w:bCs/>
          <w:sz w:val="24"/>
          <w:szCs w:val="24"/>
        </w:rPr>
        <w:t>如东水务集团有限公司安保等服务项目</w:t>
      </w:r>
    </w:p>
    <w:p w14:paraId="0979E58A">
      <w:pPr>
        <w:pStyle w:val="63"/>
        <w:adjustRightInd w:val="0"/>
        <w:snapToGrid w:val="0"/>
        <w:spacing w:line="360" w:lineRule="auto"/>
        <w:ind w:firstLine="480" w:firstLineChars="200"/>
        <w:rPr>
          <w:rFonts w:hint="eastAsia" w:cs="Times New Roman"/>
          <w:b/>
          <w:bCs/>
          <w:sz w:val="24"/>
          <w:szCs w:val="24"/>
          <w:lang w:val="en-US"/>
        </w:rPr>
      </w:pPr>
      <w:bookmarkStart w:id="28" w:name="_Hlk76656052"/>
      <w:r>
        <w:rPr>
          <w:rFonts w:hint="eastAsia"/>
          <w:sz w:val="24"/>
          <w:szCs w:val="24"/>
          <w:lang w:val="en-US"/>
        </w:rPr>
        <w:t>2.采购预算：2</w:t>
      </w:r>
      <w:r>
        <w:rPr>
          <w:rFonts w:hint="eastAsia"/>
          <w:sz w:val="24"/>
          <w:szCs w:val="24"/>
          <w:lang w:val="en-US" w:eastAsia="zh-CN"/>
        </w:rPr>
        <w:t>10</w:t>
      </w:r>
      <w:r>
        <w:rPr>
          <w:rFonts w:hint="eastAsia"/>
          <w:sz w:val="24"/>
          <w:szCs w:val="24"/>
          <w:lang w:val="en-US"/>
        </w:rPr>
        <w:t>万元。</w:t>
      </w:r>
    </w:p>
    <w:p w14:paraId="2467978E">
      <w:pPr>
        <w:adjustRightInd w:val="0"/>
        <w:snapToGrid w:val="0"/>
        <w:spacing w:line="360" w:lineRule="auto"/>
        <w:ind w:firstLine="480" w:firstLineChars="200"/>
        <w:rPr>
          <w:sz w:val="24"/>
          <w:szCs w:val="24"/>
        </w:rPr>
      </w:pPr>
      <w:r>
        <w:rPr>
          <w:rFonts w:hint="eastAsia" w:ascii="宋体" w:hAnsi="宋体"/>
          <w:sz w:val="24"/>
          <w:szCs w:val="24"/>
        </w:rPr>
        <w:t>3.采购需求：具体内容详见招标文件，请仔细研究。</w:t>
      </w:r>
    </w:p>
    <w:bookmarkEnd w:id="28"/>
    <w:p w14:paraId="352DF3CF">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sz w:val="24"/>
          <w:szCs w:val="24"/>
        </w:rPr>
        <w:t>4.</w:t>
      </w:r>
      <w:r>
        <w:rPr>
          <w:rFonts w:hint="eastAsia" w:ascii="宋体" w:hAnsi="宋体"/>
          <w:sz w:val="24"/>
          <w:szCs w:val="24"/>
          <w:lang w:val="zh-CN"/>
        </w:rPr>
        <w:t>合同履行期限：</w:t>
      </w:r>
      <w:r>
        <w:rPr>
          <w:rFonts w:hint="eastAsia" w:ascii="宋体" w:hAnsi="宋体"/>
          <w:sz w:val="24"/>
          <w:szCs w:val="24"/>
        </w:rPr>
        <w:t>自合同签订之日起一年</w:t>
      </w:r>
      <w:r>
        <w:rPr>
          <w:rFonts w:hint="eastAsia" w:ascii="宋体" w:hAnsi="宋体" w:cs="宋体"/>
          <w:sz w:val="24"/>
          <w:szCs w:val="24"/>
        </w:rPr>
        <w:t>。</w:t>
      </w:r>
    </w:p>
    <w:p w14:paraId="3EEF2224">
      <w:pPr>
        <w:adjustRightInd w:val="0"/>
        <w:snapToGrid w:val="0"/>
        <w:spacing w:line="360" w:lineRule="auto"/>
        <w:ind w:firstLine="482" w:firstLineChars="200"/>
        <w:jc w:val="left"/>
        <w:rPr>
          <w:rFonts w:ascii="宋体"/>
          <w:b/>
          <w:sz w:val="24"/>
          <w:szCs w:val="24"/>
        </w:rPr>
      </w:pPr>
      <w:r>
        <w:rPr>
          <w:rFonts w:hint="eastAsia" w:ascii="宋体" w:hAnsi="宋体"/>
          <w:b/>
          <w:sz w:val="24"/>
          <w:szCs w:val="24"/>
        </w:rPr>
        <w:t>二、申请人的资格要求：</w:t>
      </w:r>
    </w:p>
    <w:p w14:paraId="76FDA607">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1.未被“信用中国”网站列入失信被执行人、重大税收违法案件当事人名单、政府采购严重失信行为记录名单；</w:t>
      </w:r>
    </w:p>
    <w:p w14:paraId="7BD74A68">
      <w:pPr>
        <w:adjustRightInd w:val="0"/>
        <w:snapToGrid w:val="0"/>
        <w:spacing w:line="360"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2.本项目的特定资格要求：投标</w:t>
      </w:r>
      <w:r>
        <w:rPr>
          <w:rFonts w:hint="eastAsia" w:ascii="宋体" w:hAnsi="宋体" w:cs="宋体"/>
          <w:b/>
          <w:bCs/>
          <w:color w:val="auto"/>
          <w:sz w:val="24"/>
          <w:szCs w:val="24"/>
          <w:lang w:val="en-US" w:eastAsia="zh-CN"/>
        </w:rPr>
        <w:t>人</w:t>
      </w:r>
      <w:r>
        <w:rPr>
          <w:rFonts w:hint="eastAsia" w:ascii="宋体" w:hAnsi="宋体" w:cs="宋体"/>
          <w:b/>
          <w:bCs/>
          <w:color w:val="auto"/>
          <w:sz w:val="24"/>
          <w:szCs w:val="24"/>
        </w:rPr>
        <w:t>须具有经南通市公安局</w:t>
      </w:r>
      <w:r>
        <w:rPr>
          <w:rFonts w:hint="eastAsia" w:ascii="宋体" w:hAnsi="宋体" w:cs="宋体"/>
          <w:b/>
          <w:bCs/>
          <w:color w:val="auto"/>
          <w:sz w:val="24"/>
          <w:szCs w:val="24"/>
          <w:lang w:val="en-US" w:eastAsia="zh-CN"/>
        </w:rPr>
        <w:t>同意</w:t>
      </w:r>
      <w:r>
        <w:rPr>
          <w:rFonts w:hint="eastAsia" w:ascii="宋体" w:hAnsi="宋体" w:cs="宋体"/>
          <w:b/>
          <w:bCs/>
          <w:color w:val="auto"/>
          <w:sz w:val="24"/>
          <w:szCs w:val="24"/>
        </w:rPr>
        <w:t>在本市开展经营保安服务的备案证明。</w:t>
      </w:r>
    </w:p>
    <w:p w14:paraId="0D4E7F54">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单位负责人为同一人或者存在控股、管理关系的不同单位参与同一项目投标；法定代表人为同一个人的两个及两个以上法人，母公司、全资子公司及其控股公司，都不得在同一采购项目或同一标段中同时参加投标，一经发现，将视同围标处理。</w:t>
      </w:r>
    </w:p>
    <w:p w14:paraId="1777839F">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4本项目不接受联合体投标。 </w:t>
      </w:r>
      <w:bookmarkStart w:id="67" w:name="_GoBack"/>
      <w:bookmarkEnd w:id="67"/>
    </w:p>
    <w:p w14:paraId="5F0136E3">
      <w:pPr>
        <w:adjustRightInd w:val="0"/>
        <w:snapToGrid w:val="0"/>
        <w:spacing w:line="360" w:lineRule="auto"/>
        <w:ind w:firstLine="482" w:firstLineChars="200"/>
        <w:rPr>
          <w:rFonts w:ascii="宋体"/>
          <w:b/>
          <w:bCs/>
          <w:sz w:val="24"/>
          <w:szCs w:val="24"/>
        </w:rPr>
      </w:pPr>
      <w:r>
        <w:rPr>
          <w:rFonts w:hint="eastAsia" w:ascii="宋体" w:hAnsi="宋体"/>
          <w:b/>
          <w:bCs/>
          <w:sz w:val="24"/>
          <w:szCs w:val="24"/>
        </w:rPr>
        <w:t>三、获取招标文件</w:t>
      </w:r>
    </w:p>
    <w:p w14:paraId="4CA39149">
      <w:pPr>
        <w:widowControl/>
        <w:shd w:val="clear" w:color="auto" w:fill="FFFFFF"/>
        <w:adjustRightInd w:val="0"/>
        <w:snapToGrid w:val="0"/>
        <w:spacing w:line="360" w:lineRule="auto"/>
        <w:ind w:firstLine="480"/>
        <w:jc w:val="left"/>
        <w:rPr>
          <w:rFonts w:hint="eastAsia" w:ascii="宋体" w:hAnsi="宋体" w:cs="宋体"/>
          <w:b/>
          <w:bCs/>
          <w:sz w:val="24"/>
          <w:szCs w:val="24"/>
        </w:rPr>
      </w:pPr>
      <w:r>
        <w:rPr>
          <w:rFonts w:hint="eastAsia" w:ascii="宋体" w:hAnsi="宋体" w:cs="宋体"/>
          <w:b/>
          <w:bCs/>
          <w:sz w:val="24"/>
          <w:szCs w:val="24"/>
        </w:rPr>
        <w:t>1.时间：202</w:t>
      </w:r>
      <w:r>
        <w:rPr>
          <w:rFonts w:hint="eastAsia" w:ascii="宋体" w:hAnsi="宋体" w:cs="宋体"/>
          <w:b/>
          <w:bCs/>
          <w:sz w:val="24"/>
          <w:szCs w:val="24"/>
          <w:lang w:val="en-US" w:eastAsia="zh-CN"/>
        </w:rPr>
        <w:t>5</w:t>
      </w:r>
      <w:r>
        <w:rPr>
          <w:rFonts w:hint="eastAsia" w:ascii="宋体" w:hAnsi="宋体" w:cs="宋体"/>
          <w:b/>
          <w:bCs/>
          <w:sz w:val="24"/>
          <w:szCs w:val="24"/>
        </w:rPr>
        <w:t>年</w:t>
      </w:r>
      <w:r>
        <w:rPr>
          <w:rFonts w:hint="eastAsia" w:ascii="宋体" w:hAnsi="宋体" w:cs="宋体"/>
          <w:b/>
          <w:bCs/>
          <w:sz w:val="24"/>
          <w:szCs w:val="24"/>
          <w:lang w:val="en-US" w:eastAsia="zh-CN"/>
        </w:rPr>
        <w:t>1</w:t>
      </w:r>
      <w:r>
        <w:rPr>
          <w:rFonts w:hint="eastAsia" w:ascii="宋体" w:hAnsi="宋体" w:cs="宋体"/>
          <w:b/>
          <w:bCs/>
          <w:sz w:val="24"/>
          <w:szCs w:val="24"/>
        </w:rPr>
        <w:t xml:space="preserve"> 月 </w:t>
      </w:r>
      <w:r>
        <w:rPr>
          <w:rFonts w:hint="eastAsia" w:ascii="宋体" w:hAnsi="宋体" w:cs="宋体"/>
          <w:b/>
          <w:bCs/>
          <w:sz w:val="24"/>
          <w:szCs w:val="24"/>
          <w:lang w:val="en-US" w:eastAsia="zh-CN"/>
        </w:rPr>
        <w:t>15</w:t>
      </w:r>
      <w:r>
        <w:rPr>
          <w:rFonts w:hint="eastAsia" w:ascii="宋体" w:hAnsi="宋体" w:cs="宋体"/>
          <w:b/>
          <w:bCs/>
          <w:sz w:val="24"/>
          <w:szCs w:val="24"/>
        </w:rPr>
        <w:t>日至202</w:t>
      </w:r>
      <w:r>
        <w:rPr>
          <w:rFonts w:hint="eastAsia" w:ascii="宋体" w:hAnsi="宋体" w:cs="宋体"/>
          <w:b/>
          <w:bCs/>
          <w:sz w:val="24"/>
          <w:szCs w:val="24"/>
          <w:lang w:val="en-US" w:eastAsia="zh-CN"/>
        </w:rPr>
        <w:t>5</w:t>
      </w:r>
      <w:r>
        <w:rPr>
          <w:rFonts w:hint="eastAsia" w:ascii="宋体" w:hAnsi="宋体" w:cs="宋体"/>
          <w:b/>
          <w:bCs/>
          <w:sz w:val="24"/>
          <w:szCs w:val="24"/>
        </w:rPr>
        <w:t xml:space="preserve">年 </w:t>
      </w:r>
      <w:r>
        <w:rPr>
          <w:rFonts w:hint="eastAsia" w:ascii="宋体" w:hAnsi="宋体" w:cs="宋体"/>
          <w:b/>
          <w:bCs/>
          <w:sz w:val="24"/>
          <w:szCs w:val="24"/>
          <w:lang w:val="en-US" w:eastAsia="zh-CN"/>
        </w:rPr>
        <w:t>2</w:t>
      </w:r>
      <w:r>
        <w:rPr>
          <w:rFonts w:hint="eastAsia" w:ascii="宋体" w:hAnsi="宋体" w:cs="宋体"/>
          <w:b/>
          <w:bCs/>
          <w:sz w:val="24"/>
          <w:szCs w:val="24"/>
        </w:rPr>
        <w:t xml:space="preserve">月 </w:t>
      </w:r>
      <w:r>
        <w:rPr>
          <w:rFonts w:hint="eastAsia" w:ascii="宋体" w:hAnsi="宋体" w:cs="宋体"/>
          <w:b/>
          <w:bCs/>
          <w:sz w:val="24"/>
          <w:szCs w:val="24"/>
          <w:lang w:val="en-US" w:eastAsia="zh-CN"/>
        </w:rPr>
        <w:t>8</w:t>
      </w:r>
      <w:r>
        <w:rPr>
          <w:rFonts w:hint="eastAsia" w:ascii="宋体" w:hAnsi="宋体" w:cs="宋体"/>
          <w:b/>
          <w:bCs/>
          <w:sz w:val="24"/>
          <w:szCs w:val="24"/>
        </w:rPr>
        <w:t xml:space="preserve"> 日</w:t>
      </w:r>
    </w:p>
    <w:p w14:paraId="3A0969CC">
      <w:pPr>
        <w:widowControl/>
        <w:shd w:val="clear" w:color="auto" w:fill="FFFFFF"/>
        <w:adjustRightInd w:val="0"/>
        <w:snapToGrid w:val="0"/>
        <w:spacing w:line="360" w:lineRule="auto"/>
        <w:ind w:firstLine="480"/>
        <w:jc w:val="left"/>
        <w:rPr>
          <w:rFonts w:hint="eastAsia" w:ascii="宋体" w:hAnsi="宋体" w:cs="宋体"/>
          <w:b/>
          <w:bCs/>
          <w:sz w:val="24"/>
          <w:szCs w:val="24"/>
        </w:rPr>
      </w:pPr>
      <w:r>
        <w:rPr>
          <w:rFonts w:hint="eastAsia" w:ascii="宋体" w:hAnsi="宋体" w:cs="宋体"/>
          <w:b/>
          <w:bCs/>
          <w:sz w:val="24"/>
          <w:szCs w:val="24"/>
        </w:rPr>
        <w:t>2.地点：登陆“如东县限额交易网-项目投标方”下载</w:t>
      </w:r>
      <w:r>
        <w:rPr>
          <w:rFonts w:hint="eastAsia" w:ascii="宋体" w:hAnsi="宋体" w:cs="宋体"/>
          <w:b/>
          <w:bCs/>
          <w:sz w:val="24"/>
          <w:szCs w:val="24"/>
          <w:lang w:val="en-US" w:eastAsia="zh-CN"/>
        </w:rPr>
        <w:t>招标</w:t>
      </w:r>
      <w:r>
        <w:rPr>
          <w:rFonts w:hint="eastAsia" w:ascii="宋体" w:hAnsi="宋体" w:cs="宋体"/>
          <w:b/>
          <w:bCs/>
          <w:sz w:val="24"/>
          <w:szCs w:val="24"/>
        </w:rPr>
        <w:t>文件等。</w:t>
      </w:r>
    </w:p>
    <w:p w14:paraId="02B810DD">
      <w:pPr>
        <w:widowControl/>
        <w:shd w:val="clear" w:color="auto" w:fill="FFFFFF"/>
        <w:adjustRightInd w:val="0"/>
        <w:snapToGrid w:val="0"/>
        <w:spacing w:line="360" w:lineRule="auto"/>
        <w:ind w:firstLine="480"/>
        <w:jc w:val="left"/>
        <w:rPr>
          <w:rFonts w:hint="eastAsia" w:ascii="宋体" w:hAnsi="宋体" w:cs="宋体"/>
          <w:b/>
          <w:bCs/>
          <w:sz w:val="24"/>
          <w:szCs w:val="24"/>
        </w:rPr>
      </w:pPr>
      <w:r>
        <w:rPr>
          <w:rFonts w:hint="eastAsia" w:ascii="宋体" w:hAnsi="宋体" w:eastAsia="宋体" w:cs="宋体"/>
          <w:b/>
          <w:bCs/>
          <w:sz w:val="24"/>
          <w:szCs w:val="24"/>
        </w:rPr>
        <w:t>3.获取方式：凡有意参与投标的供应商须登录“如东县限额交易</w:t>
      </w:r>
      <w:r>
        <w:rPr>
          <w:rFonts w:hint="eastAsia" w:ascii="宋体" w:hAnsi="宋体" w:eastAsia="宋体" w:cs="宋体"/>
          <w:b/>
          <w:bCs/>
          <w:sz w:val="24"/>
          <w:szCs w:val="24"/>
          <w:lang w:val="en-US" w:eastAsia="zh-CN"/>
        </w:rPr>
        <w:t>平台</w:t>
      </w:r>
      <w:r>
        <w:rPr>
          <w:rFonts w:hint="eastAsia" w:ascii="宋体" w:hAnsi="宋体" w:eastAsia="宋体" w:cs="宋体"/>
          <w:b/>
          <w:bCs/>
          <w:sz w:val="24"/>
          <w:szCs w:val="24"/>
        </w:rPr>
        <w:t>”，并自行下载招标文件。</w:t>
      </w:r>
    </w:p>
    <w:p w14:paraId="646D69FA">
      <w:pPr>
        <w:widowControl/>
        <w:shd w:val="clear" w:color="auto" w:fill="FFFFFF"/>
        <w:adjustRightInd w:val="0"/>
        <w:snapToGrid w:val="0"/>
        <w:spacing w:line="360" w:lineRule="auto"/>
        <w:ind w:firstLine="480"/>
        <w:jc w:val="left"/>
        <w:rPr>
          <w:rFonts w:hint="eastAsia" w:ascii="宋体" w:hAnsi="宋体" w:eastAsia="宋体" w:cs="宋体"/>
          <w:b/>
          <w:bCs/>
          <w:sz w:val="24"/>
          <w:szCs w:val="24"/>
        </w:rPr>
      </w:pPr>
      <w:r>
        <w:rPr>
          <w:rFonts w:hint="eastAsia" w:ascii="宋体" w:hAnsi="宋体" w:eastAsia="宋体" w:cs="宋体"/>
          <w:b/>
          <w:bCs/>
          <w:sz w:val="24"/>
          <w:szCs w:val="24"/>
        </w:rPr>
        <w:t>四、提交投标文件截止时间、开标时间和地点</w:t>
      </w:r>
    </w:p>
    <w:p w14:paraId="7AD22591">
      <w:pPr>
        <w:widowControl/>
        <w:shd w:val="clear" w:color="auto" w:fill="FFFFFF"/>
        <w:adjustRightInd w:val="0"/>
        <w:snapToGrid w:val="0"/>
        <w:spacing w:line="360" w:lineRule="auto"/>
        <w:ind w:firstLine="480"/>
        <w:jc w:val="left"/>
        <w:rPr>
          <w:rFonts w:hint="eastAsia" w:ascii="宋体" w:hAnsi="宋体" w:eastAsia="宋体" w:cs="宋体"/>
          <w:b w:val="0"/>
          <w:bCs w:val="0"/>
          <w:sz w:val="24"/>
          <w:szCs w:val="24"/>
        </w:rPr>
      </w:pPr>
      <w:r>
        <w:rPr>
          <w:rFonts w:hint="eastAsia" w:ascii="宋体" w:hAnsi="宋体" w:eastAsia="宋体" w:cs="宋体"/>
          <w:b/>
          <w:bCs/>
          <w:sz w:val="24"/>
          <w:szCs w:val="24"/>
        </w:rPr>
        <w:t>提交投标文件截止时间、开标时间：202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xml:space="preserve">年 </w:t>
      </w:r>
      <w:r>
        <w:rPr>
          <w:rFonts w:hint="eastAsia" w:ascii="宋体" w:hAnsi="宋体" w:cs="宋体"/>
          <w:b/>
          <w:bCs/>
          <w:sz w:val="24"/>
          <w:szCs w:val="24"/>
          <w:lang w:val="en-US" w:eastAsia="zh-CN"/>
        </w:rPr>
        <w:t>2</w:t>
      </w:r>
      <w:r>
        <w:rPr>
          <w:rFonts w:hint="eastAsia" w:ascii="宋体" w:hAnsi="宋体" w:eastAsia="宋体" w:cs="宋体"/>
          <w:b/>
          <w:bCs/>
          <w:sz w:val="24"/>
          <w:szCs w:val="24"/>
        </w:rPr>
        <w:t xml:space="preserve">月 </w:t>
      </w:r>
      <w:r>
        <w:rPr>
          <w:rFonts w:hint="eastAsia" w:ascii="宋体" w:hAnsi="宋体" w:cs="宋体"/>
          <w:b/>
          <w:bCs/>
          <w:sz w:val="24"/>
          <w:szCs w:val="24"/>
          <w:lang w:val="en-US" w:eastAsia="zh-CN"/>
        </w:rPr>
        <w:t>8</w:t>
      </w:r>
      <w:r>
        <w:rPr>
          <w:rFonts w:hint="eastAsia" w:ascii="宋体" w:hAnsi="宋体" w:eastAsia="宋体" w:cs="宋体"/>
          <w:b/>
          <w:bCs/>
          <w:sz w:val="24"/>
          <w:szCs w:val="24"/>
        </w:rPr>
        <w:t>日上午9时</w:t>
      </w:r>
      <w:r>
        <w:rPr>
          <w:rFonts w:hint="eastAsia" w:ascii="宋体" w:hAnsi="宋体" w:eastAsia="宋体" w:cs="宋体"/>
          <w:b/>
          <w:bCs/>
          <w:sz w:val="24"/>
          <w:szCs w:val="24"/>
          <w:lang w:val="en-US" w:eastAsia="zh-CN"/>
        </w:rPr>
        <w:t>00</w:t>
      </w:r>
      <w:r>
        <w:rPr>
          <w:rFonts w:hint="eastAsia" w:ascii="宋体" w:hAnsi="宋体" w:eastAsia="宋体" w:cs="宋体"/>
          <w:b/>
          <w:bCs/>
          <w:sz w:val="24"/>
          <w:szCs w:val="24"/>
        </w:rPr>
        <w:t>分（北京时间</w:t>
      </w:r>
      <w:r>
        <w:rPr>
          <w:rFonts w:hint="eastAsia" w:ascii="宋体" w:hAnsi="宋体" w:eastAsia="宋体" w:cs="宋体"/>
          <w:b w:val="0"/>
          <w:bCs w:val="0"/>
          <w:sz w:val="24"/>
          <w:szCs w:val="24"/>
        </w:rPr>
        <w:t>）。</w:t>
      </w:r>
    </w:p>
    <w:p w14:paraId="60E65CF2">
      <w:pPr>
        <w:widowControl/>
        <w:shd w:val="clear" w:color="auto" w:fill="FFFFFF"/>
        <w:adjustRightInd w:val="0"/>
        <w:snapToGrid w:val="0"/>
        <w:spacing w:line="360" w:lineRule="auto"/>
        <w:ind w:firstLine="480"/>
        <w:jc w:val="left"/>
        <w:rPr>
          <w:rFonts w:hint="eastAsia" w:ascii="宋体" w:hAnsi="宋体" w:cs="宋体"/>
          <w:b/>
          <w:bCs/>
          <w:sz w:val="24"/>
          <w:szCs w:val="24"/>
        </w:rPr>
      </w:pPr>
      <w:r>
        <w:rPr>
          <w:rFonts w:hint="eastAsia" w:ascii="宋体" w:hAnsi="宋体" w:eastAsia="宋体" w:cs="宋体"/>
          <w:b w:val="0"/>
          <w:bCs w:val="0"/>
          <w:sz w:val="24"/>
          <w:szCs w:val="24"/>
        </w:rPr>
        <w:t>地点：本项目采用不见面招投标，开标当日，投标人不必抵达开标现场，仅需在任意地点通过“如东县限额交易</w:t>
      </w:r>
      <w:r>
        <w:rPr>
          <w:rFonts w:hint="eastAsia" w:ascii="宋体" w:hAnsi="宋体" w:eastAsia="宋体" w:cs="宋体"/>
          <w:b w:val="0"/>
          <w:bCs w:val="0"/>
          <w:sz w:val="24"/>
          <w:szCs w:val="24"/>
          <w:lang w:val="en-US" w:eastAsia="zh-CN"/>
        </w:rPr>
        <w:t>平台</w:t>
      </w:r>
      <w:r>
        <w:rPr>
          <w:rFonts w:hint="eastAsia" w:ascii="宋体" w:hAnsi="宋体" w:eastAsia="宋体" w:cs="宋体"/>
          <w:b w:val="0"/>
          <w:bCs w:val="0"/>
          <w:sz w:val="24"/>
          <w:szCs w:val="24"/>
        </w:rPr>
        <w:t>-项目投标方”参加开标会议。</w:t>
      </w:r>
    </w:p>
    <w:p w14:paraId="54DA9446">
      <w:pPr>
        <w:adjustRightInd w:val="0"/>
        <w:snapToGrid w:val="0"/>
        <w:spacing w:line="360" w:lineRule="auto"/>
        <w:ind w:firstLine="482" w:firstLineChars="200"/>
        <w:rPr>
          <w:rFonts w:ascii="宋体"/>
          <w:b/>
          <w:sz w:val="24"/>
          <w:szCs w:val="24"/>
        </w:rPr>
      </w:pPr>
      <w:r>
        <w:rPr>
          <w:rFonts w:hint="eastAsia" w:ascii="宋体" w:hAnsi="宋体"/>
          <w:b/>
          <w:sz w:val="24"/>
          <w:szCs w:val="24"/>
        </w:rPr>
        <w:t>五、公告期限</w:t>
      </w:r>
    </w:p>
    <w:p w14:paraId="607718DF">
      <w:pPr>
        <w:adjustRightInd w:val="0"/>
        <w:snapToGrid w:val="0"/>
        <w:spacing w:line="360" w:lineRule="auto"/>
        <w:ind w:firstLine="480" w:firstLineChars="200"/>
        <w:rPr>
          <w:rFonts w:ascii="宋体"/>
          <w:sz w:val="24"/>
          <w:szCs w:val="24"/>
        </w:rPr>
      </w:pPr>
      <w:r>
        <w:rPr>
          <w:rFonts w:hint="eastAsia" w:ascii="宋体" w:hAnsi="宋体"/>
          <w:sz w:val="24"/>
          <w:szCs w:val="24"/>
        </w:rPr>
        <w:t>自本公告发布之日起20日。</w:t>
      </w:r>
    </w:p>
    <w:p w14:paraId="7C8F6938">
      <w:pPr>
        <w:adjustRightInd w:val="0"/>
        <w:snapToGrid w:val="0"/>
        <w:spacing w:line="360" w:lineRule="auto"/>
        <w:ind w:firstLine="482" w:firstLineChars="200"/>
        <w:rPr>
          <w:rFonts w:ascii="宋体"/>
          <w:b/>
          <w:sz w:val="24"/>
          <w:szCs w:val="24"/>
        </w:rPr>
      </w:pPr>
      <w:r>
        <w:rPr>
          <w:rFonts w:hint="eastAsia" w:ascii="宋体" w:hAnsi="宋体"/>
          <w:b/>
          <w:sz w:val="24"/>
          <w:szCs w:val="24"/>
          <w:lang w:val="en-US" w:eastAsia="zh-CN"/>
        </w:rPr>
        <w:t>六</w:t>
      </w:r>
      <w:r>
        <w:rPr>
          <w:rFonts w:hint="eastAsia" w:ascii="宋体" w:hAnsi="宋体"/>
          <w:b/>
          <w:sz w:val="24"/>
          <w:szCs w:val="24"/>
        </w:rPr>
        <w:t>、其他补充事宜</w:t>
      </w:r>
    </w:p>
    <w:p w14:paraId="24C482E1">
      <w:pPr>
        <w:adjustRightInd w:val="0"/>
        <w:snapToGrid w:val="0"/>
        <w:spacing w:line="360" w:lineRule="auto"/>
        <w:ind w:firstLine="480" w:firstLineChars="200"/>
        <w:rPr>
          <w:rFonts w:hint="eastAsia" w:ascii="宋体" w:hAnsi="宋体"/>
          <w:sz w:val="24"/>
          <w:szCs w:val="24"/>
        </w:rPr>
      </w:pPr>
      <w:r>
        <w:rPr>
          <w:rFonts w:ascii="宋体" w:hAnsi="宋体"/>
          <w:sz w:val="24"/>
          <w:szCs w:val="24"/>
        </w:rPr>
        <w:t>1</w:t>
      </w:r>
      <w:r>
        <w:rPr>
          <w:rFonts w:hint="eastAsia" w:ascii="宋体" w:hAnsi="宋体"/>
          <w:sz w:val="24"/>
          <w:szCs w:val="24"/>
        </w:rPr>
        <w:t>.投标保证金：</w:t>
      </w:r>
      <w:r>
        <w:rPr>
          <w:rFonts w:hint="eastAsia" w:ascii="宋体" w:hAnsi="宋体"/>
          <w:bCs/>
          <w:sz w:val="24"/>
          <w:szCs w:val="24"/>
        </w:rPr>
        <w:t>本项目不收取投标保证金。招标文件中涉及投标保证金的事项，均按免</w:t>
      </w:r>
      <w:r>
        <w:rPr>
          <w:rFonts w:hint="eastAsia" w:ascii="宋体" w:hAnsi="宋体"/>
          <w:sz w:val="24"/>
          <w:szCs w:val="24"/>
        </w:rPr>
        <w:t>收投标保证金执行。</w:t>
      </w:r>
    </w:p>
    <w:p w14:paraId="21DDBD31">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2.对项目部分（供应商资格要求、项目要求、评分标准）的询问、质疑向</w:t>
      </w:r>
      <w:r>
        <w:rPr>
          <w:rFonts w:hint="eastAsia" w:ascii="宋体" w:hAnsi="宋体"/>
          <w:sz w:val="24"/>
          <w:szCs w:val="24"/>
          <w:lang w:val="en-US" w:eastAsia="zh-CN"/>
        </w:rPr>
        <w:t>招标</w:t>
      </w:r>
      <w:r>
        <w:rPr>
          <w:rFonts w:hint="eastAsia" w:ascii="宋体" w:hAnsi="宋体"/>
          <w:sz w:val="24"/>
          <w:szCs w:val="24"/>
        </w:rPr>
        <w:t>人指出，由</w:t>
      </w:r>
      <w:r>
        <w:rPr>
          <w:rFonts w:hint="eastAsia" w:ascii="宋体" w:hAnsi="宋体"/>
          <w:sz w:val="24"/>
          <w:szCs w:val="24"/>
          <w:lang w:val="en-US" w:eastAsia="zh-CN"/>
        </w:rPr>
        <w:t>招标</w:t>
      </w:r>
      <w:r>
        <w:rPr>
          <w:rFonts w:hint="eastAsia" w:ascii="宋体" w:hAnsi="宋体"/>
          <w:sz w:val="24"/>
          <w:szCs w:val="24"/>
        </w:rPr>
        <w:t>人答复；对项目投标文件的其他部分询问、质疑向代理机构指出或</w:t>
      </w:r>
      <w:r>
        <w:rPr>
          <w:rFonts w:hint="eastAsia" w:ascii="宋体" w:hAnsi="宋体"/>
          <w:sz w:val="24"/>
          <w:szCs w:val="24"/>
          <w:lang w:val="en-US" w:eastAsia="zh-CN"/>
        </w:rPr>
        <w:t>招标</w:t>
      </w:r>
      <w:r>
        <w:rPr>
          <w:rFonts w:hint="eastAsia" w:ascii="宋体" w:hAnsi="宋体"/>
          <w:sz w:val="24"/>
          <w:szCs w:val="24"/>
        </w:rPr>
        <w:t>人指出。</w:t>
      </w:r>
    </w:p>
    <w:p w14:paraId="65834925">
      <w:pPr>
        <w:adjustRightInd w:val="0"/>
        <w:snapToGrid w:val="0"/>
        <w:spacing w:line="440" w:lineRule="exact"/>
        <w:ind w:firstLine="480" w:firstLineChars="200"/>
        <w:rPr>
          <w:rFonts w:hint="eastAsia" w:ascii="宋体" w:hAnsi="宋体" w:cs="宋体"/>
          <w:b w:val="0"/>
          <w:bCs w:val="0"/>
          <w:sz w:val="24"/>
          <w:szCs w:val="24"/>
        </w:rPr>
      </w:pPr>
      <w:r>
        <w:rPr>
          <w:rFonts w:hint="eastAsia" w:ascii="宋体" w:hAnsi="宋体" w:cs="宋体"/>
          <w:b w:val="0"/>
          <w:bCs w:val="0"/>
          <w:sz w:val="24"/>
          <w:szCs w:val="24"/>
        </w:rPr>
        <w:t>3.本项目采用不见面招投标，开标当日，投标人不必抵达开标现场，仅需在任意地点通过“如东县限额交易</w:t>
      </w:r>
      <w:r>
        <w:rPr>
          <w:rFonts w:hint="eastAsia" w:ascii="宋体" w:hAnsi="宋体" w:cs="宋体"/>
          <w:b w:val="0"/>
          <w:bCs w:val="0"/>
          <w:sz w:val="24"/>
          <w:szCs w:val="24"/>
          <w:lang w:val="en-US" w:eastAsia="zh-CN"/>
        </w:rPr>
        <w:t>平台</w:t>
      </w:r>
      <w:r>
        <w:rPr>
          <w:rFonts w:hint="eastAsia" w:ascii="宋体" w:hAnsi="宋体" w:cs="宋体"/>
          <w:b w:val="0"/>
          <w:bCs w:val="0"/>
          <w:sz w:val="24"/>
          <w:szCs w:val="24"/>
        </w:rPr>
        <w:t>-项目投标方”参加开标会议并在投标截止时间后需要进行投标文件的解密，并根据需要使用聊天室与现场招标人进行互动交流、澄清、提疑以及文件传送等活动。具体操作流程可参见《操作手册》。投标人须在投标截止前按照招标文件要求将投标文件上传至系统内相应位置。交易平台技术服务联系电话：0513-84800088。</w:t>
      </w:r>
    </w:p>
    <w:p w14:paraId="51085DB7">
      <w:pPr>
        <w:adjustRightInd w:val="0"/>
        <w:snapToGrid w:val="0"/>
        <w:spacing w:line="440" w:lineRule="exact"/>
        <w:ind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4.</w:t>
      </w:r>
      <w:r>
        <w:rPr>
          <w:rFonts w:hint="eastAsia" w:ascii="宋体" w:hAnsi="宋体" w:cs="宋体"/>
          <w:b w:val="0"/>
          <w:bCs w:val="0"/>
          <w:sz w:val="24"/>
          <w:szCs w:val="24"/>
        </w:rPr>
        <w:t>解密时间：投标人解密限定在采购人确定解密时间后30分钟内完成（如因投标人个人原因，未在限定时间内完成解密的，将退回其投标文件，不得再参加本项目的投标）。</w:t>
      </w:r>
    </w:p>
    <w:p w14:paraId="0EE0AA9E">
      <w:pPr>
        <w:adjustRightInd w:val="0"/>
        <w:snapToGrid w:val="0"/>
        <w:spacing w:line="440" w:lineRule="exact"/>
        <w:ind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5</w:t>
      </w:r>
      <w:r>
        <w:rPr>
          <w:rFonts w:hint="eastAsia" w:ascii="宋体" w:hAnsi="宋体" w:cs="宋体"/>
          <w:b w:val="0"/>
          <w:bCs w:val="0"/>
          <w:sz w:val="24"/>
          <w:szCs w:val="24"/>
        </w:rPr>
        <w:t>.本项目招标文件及相关招标资料必须自行登录如东县限额交易平台的项目投标方业务系统进行网上报名（即下载本项目招标文件及相关招标资料），否则拒收投标文件。</w:t>
      </w:r>
    </w:p>
    <w:p w14:paraId="3F1BC6DA">
      <w:pPr>
        <w:adjustRightInd w:val="0"/>
        <w:snapToGrid w:val="0"/>
        <w:spacing w:line="440" w:lineRule="exact"/>
        <w:ind w:firstLine="480" w:firstLineChars="200"/>
        <w:rPr>
          <w:rFonts w:hint="eastAsia" w:ascii="宋体" w:hAnsi="宋体"/>
          <w:b w:val="0"/>
          <w:bCs w:val="0"/>
          <w:sz w:val="24"/>
          <w:szCs w:val="24"/>
        </w:rPr>
      </w:pPr>
      <w:r>
        <w:rPr>
          <w:rFonts w:hint="eastAsia" w:ascii="宋体" w:hAnsi="宋体" w:cs="宋体"/>
          <w:b w:val="0"/>
          <w:bCs w:val="0"/>
          <w:sz w:val="24"/>
          <w:szCs w:val="24"/>
          <w:lang w:val="en-US" w:eastAsia="zh-CN"/>
        </w:rPr>
        <w:t>6.</w:t>
      </w:r>
      <w:r>
        <w:rPr>
          <w:rFonts w:hint="eastAsia" w:ascii="宋体" w:hAnsi="宋体" w:cs="宋体"/>
          <w:b w:val="0"/>
          <w:bCs w:val="0"/>
          <w:sz w:val="24"/>
          <w:szCs w:val="24"/>
        </w:rPr>
        <w:t>本项目投标时不需要提供纸质投标文件。中标单位在确定中标后，必须提供叁份使用系统打印出来（加盖公章）的完整的投标文件交招标代理（投标文件份数：正本壹份，副本贰份）。</w:t>
      </w:r>
    </w:p>
    <w:p w14:paraId="52AFD744">
      <w:pPr>
        <w:adjustRightInd w:val="0"/>
        <w:snapToGrid w:val="0"/>
        <w:spacing w:line="360" w:lineRule="auto"/>
        <w:ind w:firstLine="482" w:firstLineChars="200"/>
        <w:rPr>
          <w:rFonts w:ascii="宋体"/>
          <w:b/>
          <w:sz w:val="24"/>
          <w:szCs w:val="24"/>
        </w:rPr>
      </w:pPr>
      <w:r>
        <w:rPr>
          <w:rFonts w:hint="eastAsia" w:ascii="宋体" w:hAnsi="宋体"/>
          <w:b/>
          <w:sz w:val="24"/>
          <w:szCs w:val="24"/>
          <w:lang w:val="en-US" w:eastAsia="zh-CN"/>
        </w:rPr>
        <w:t>七</w:t>
      </w:r>
      <w:r>
        <w:rPr>
          <w:rFonts w:hint="eastAsia" w:ascii="宋体" w:hAnsi="宋体"/>
          <w:b/>
          <w:sz w:val="24"/>
          <w:szCs w:val="24"/>
        </w:rPr>
        <w:t>、对本次招标提出询问，请按以下方式联系。</w:t>
      </w:r>
    </w:p>
    <w:p w14:paraId="3EE23D12">
      <w:pPr>
        <w:adjustRightInd w:val="0"/>
        <w:snapToGrid w:val="0"/>
        <w:spacing w:line="360" w:lineRule="auto"/>
        <w:ind w:firstLine="480" w:firstLineChars="200"/>
        <w:rPr>
          <w:rFonts w:ascii="宋体"/>
          <w:sz w:val="24"/>
          <w:szCs w:val="24"/>
        </w:rPr>
      </w:pPr>
      <w:r>
        <w:rPr>
          <w:rFonts w:ascii="宋体" w:hAnsi="宋体"/>
          <w:sz w:val="24"/>
          <w:szCs w:val="24"/>
        </w:rPr>
        <w:t xml:space="preserve"> 1</w:t>
      </w:r>
      <w:r>
        <w:rPr>
          <w:rFonts w:hint="eastAsia" w:ascii="宋体" w:hAnsi="宋体"/>
          <w:sz w:val="24"/>
          <w:szCs w:val="24"/>
        </w:rPr>
        <w:t>.</w:t>
      </w:r>
      <w:r>
        <w:rPr>
          <w:rFonts w:hint="eastAsia" w:ascii="宋体" w:hAnsi="宋体"/>
          <w:sz w:val="24"/>
          <w:szCs w:val="24"/>
          <w:lang w:val="en-US" w:eastAsia="zh-CN"/>
        </w:rPr>
        <w:t>招标</w:t>
      </w:r>
      <w:r>
        <w:rPr>
          <w:rFonts w:hint="eastAsia" w:ascii="宋体" w:hAnsi="宋体"/>
          <w:sz w:val="24"/>
          <w:szCs w:val="24"/>
        </w:rPr>
        <w:t>人信息</w:t>
      </w:r>
    </w:p>
    <w:p w14:paraId="084DAE90">
      <w:pPr>
        <w:adjustRightInd w:val="0"/>
        <w:snapToGrid w:val="0"/>
        <w:spacing w:line="360" w:lineRule="auto"/>
        <w:ind w:firstLine="480" w:firstLineChars="200"/>
        <w:rPr>
          <w:rFonts w:ascii="宋体"/>
          <w:sz w:val="24"/>
          <w:szCs w:val="24"/>
        </w:rPr>
      </w:pPr>
      <w:r>
        <w:rPr>
          <w:rFonts w:hint="eastAsia" w:ascii="宋体" w:hAnsi="宋体"/>
          <w:sz w:val="24"/>
          <w:szCs w:val="24"/>
        </w:rPr>
        <w:t>名称：如东水务集团有限公司</w:t>
      </w:r>
    </w:p>
    <w:p w14:paraId="272E87AE">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地址：如东县掘港街道人民南路120号</w:t>
      </w:r>
    </w:p>
    <w:p w14:paraId="3F17EEFC">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联系人：姚翔晟</w:t>
      </w:r>
    </w:p>
    <w:p w14:paraId="14380C0C">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电话：15950843083</w:t>
      </w:r>
    </w:p>
    <w:p w14:paraId="4532DB50">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2.代理机构信息</w:t>
      </w:r>
    </w:p>
    <w:p w14:paraId="4B145352">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招标代理单位：南通建仁房地产评估工程项目管理有限公司</w:t>
      </w:r>
    </w:p>
    <w:p w14:paraId="65CD40A9">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地址：如东县掘港</w:t>
      </w:r>
      <w:r>
        <w:rPr>
          <w:rFonts w:hint="eastAsia" w:ascii="宋体" w:hAnsi="宋体"/>
          <w:sz w:val="24"/>
          <w:szCs w:val="24"/>
          <w:lang w:val="en-US" w:eastAsia="zh-CN"/>
        </w:rPr>
        <w:t>街道</w:t>
      </w:r>
      <w:r>
        <w:rPr>
          <w:rFonts w:hint="eastAsia" w:ascii="宋体" w:hAnsi="宋体"/>
          <w:sz w:val="24"/>
          <w:szCs w:val="24"/>
        </w:rPr>
        <w:t>朝阳路4号</w:t>
      </w:r>
    </w:p>
    <w:p w14:paraId="0E36855D">
      <w:pPr>
        <w:adjustRightInd w:val="0"/>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联系人：朱</w:t>
      </w:r>
      <w:r>
        <w:rPr>
          <w:rFonts w:hint="eastAsia" w:ascii="宋体" w:hAnsi="宋体"/>
          <w:sz w:val="24"/>
          <w:szCs w:val="24"/>
          <w:lang w:val="en-US" w:eastAsia="zh-CN"/>
        </w:rPr>
        <w:t>工</w:t>
      </w:r>
    </w:p>
    <w:p w14:paraId="5CA6FED3">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电话：15301470777</w:t>
      </w:r>
    </w:p>
    <w:p w14:paraId="0D8ACDC8">
      <w:pPr>
        <w:adjustRightInd w:val="0"/>
        <w:snapToGrid w:val="0"/>
        <w:spacing w:line="360" w:lineRule="auto"/>
        <w:ind w:firstLine="480" w:firstLineChars="200"/>
        <w:rPr>
          <w:rFonts w:hint="eastAsia" w:ascii="宋体" w:hAnsi="宋体"/>
          <w:sz w:val="24"/>
          <w:szCs w:val="24"/>
        </w:rPr>
      </w:pPr>
    </w:p>
    <w:p w14:paraId="282A24D8">
      <w:pPr>
        <w:pStyle w:val="21"/>
        <w:rPr>
          <w:rFonts w:hint="eastAsia" w:ascii="宋体" w:hAnsi="宋体" w:cs="宋体"/>
        </w:rPr>
      </w:pPr>
    </w:p>
    <w:p w14:paraId="68DEE04B">
      <w:pPr>
        <w:widowControl/>
        <w:jc w:val="left"/>
        <w:rPr>
          <w:rFonts w:hint="eastAsia" w:ascii="宋体" w:hAnsi="宋体" w:cs="宋体"/>
        </w:rPr>
      </w:pPr>
      <w:r>
        <w:rPr>
          <w:rFonts w:ascii="宋体" w:hAnsi="宋体" w:cs="宋体"/>
        </w:rPr>
        <w:br w:type="page"/>
      </w:r>
    </w:p>
    <w:p w14:paraId="494F8313">
      <w:pPr>
        <w:pStyle w:val="21"/>
      </w:pPr>
    </w:p>
    <w:p w14:paraId="0A6443FA">
      <w:pPr>
        <w:pStyle w:val="57"/>
        <w:spacing w:afterLines="0" w:line="500" w:lineRule="exact"/>
        <w:rPr>
          <w:rFonts w:hint="eastAsia" w:ascii="宋体" w:hAnsi="宋体" w:eastAsia="宋体" w:cs="宋体"/>
        </w:rPr>
      </w:pPr>
      <w:r>
        <w:rPr>
          <w:rFonts w:hint="eastAsia" w:ascii="宋体" w:hAnsi="宋体" w:eastAsia="宋体" w:cs="宋体"/>
        </w:rPr>
        <w:t>第二章</w:t>
      </w:r>
      <w:bookmarkStart w:id="29" w:name="_Toc513029202"/>
      <w:bookmarkStart w:id="30" w:name="_Toc16938518"/>
      <w:bookmarkStart w:id="31" w:name="_Toc120614213"/>
      <w:bookmarkStart w:id="32" w:name="_Toc20823274"/>
      <w:r>
        <w:rPr>
          <w:rFonts w:hint="eastAsia" w:ascii="宋体" w:hAnsi="宋体" w:eastAsia="宋体" w:cs="宋体"/>
        </w:rPr>
        <w:t xml:space="preserve">  投标人须知</w:t>
      </w:r>
      <w:bookmarkEnd w:id="29"/>
      <w:bookmarkEnd w:id="30"/>
      <w:bookmarkEnd w:id="31"/>
      <w:bookmarkEnd w:id="32"/>
    </w:p>
    <w:p w14:paraId="439079A7">
      <w:pPr>
        <w:adjustRightInd w:val="0"/>
        <w:snapToGrid w:val="0"/>
        <w:spacing w:line="360" w:lineRule="auto"/>
        <w:ind w:firstLine="482" w:firstLineChars="200"/>
        <w:jc w:val="left"/>
        <w:rPr>
          <w:b/>
          <w:sz w:val="24"/>
          <w:szCs w:val="24"/>
        </w:rPr>
      </w:pPr>
      <w:r>
        <w:rPr>
          <w:rFonts w:hint="eastAsia"/>
          <w:b/>
          <w:sz w:val="24"/>
          <w:szCs w:val="24"/>
        </w:rPr>
        <w:t>一、总则</w:t>
      </w:r>
    </w:p>
    <w:p w14:paraId="1897DF7A">
      <w:pPr>
        <w:adjustRightInd w:val="0"/>
        <w:snapToGrid w:val="0"/>
        <w:spacing w:line="360" w:lineRule="auto"/>
        <w:ind w:firstLine="480" w:firstLineChars="200"/>
        <w:jc w:val="left"/>
        <w:rPr>
          <w:sz w:val="24"/>
          <w:szCs w:val="24"/>
        </w:rPr>
      </w:pPr>
      <w:r>
        <w:rPr>
          <w:sz w:val="24"/>
          <w:szCs w:val="24"/>
        </w:rPr>
        <w:t>1</w:t>
      </w:r>
      <w:r>
        <w:rPr>
          <w:rFonts w:hint="eastAsia"/>
          <w:sz w:val="24"/>
          <w:szCs w:val="24"/>
        </w:rPr>
        <w:t>．采购方式</w:t>
      </w:r>
    </w:p>
    <w:p w14:paraId="1564FCB3">
      <w:pPr>
        <w:adjustRightInd w:val="0"/>
        <w:snapToGrid w:val="0"/>
        <w:spacing w:line="360" w:lineRule="auto"/>
        <w:ind w:firstLine="480" w:firstLineChars="200"/>
        <w:jc w:val="left"/>
        <w:rPr>
          <w:sz w:val="24"/>
          <w:szCs w:val="24"/>
        </w:rPr>
      </w:pPr>
      <w:r>
        <w:rPr>
          <w:sz w:val="24"/>
          <w:szCs w:val="24"/>
        </w:rPr>
        <w:t xml:space="preserve">1.1 </w:t>
      </w:r>
      <w:r>
        <w:rPr>
          <w:rFonts w:hint="eastAsia"/>
          <w:sz w:val="24"/>
          <w:szCs w:val="24"/>
        </w:rPr>
        <w:t>本次采购采取公开招标方式，本招标文件仅适用于第一章“招标公告”中所述项目。</w:t>
      </w:r>
    </w:p>
    <w:p w14:paraId="5E3F2D67">
      <w:pPr>
        <w:adjustRightInd w:val="0"/>
        <w:snapToGrid w:val="0"/>
        <w:spacing w:line="360" w:lineRule="auto"/>
        <w:ind w:firstLine="480" w:firstLineChars="200"/>
        <w:jc w:val="left"/>
        <w:rPr>
          <w:sz w:val="24"/>
          <w:szCs w:val="24"/>
        </w:rPr>
      </w:pPr>
      <w:r>
        <w:rPr>
          <w:sz w:val="24"/>
          <w:szCs w:val="24"/>
        </w:rPr>
        <w:t>2</w:t>
      </w:r>
      <w:r>
        <w:rPr>
          <w:rFonts w:hint="eastAsia"/>
          <w:sz w:val="24"/>
          <w:szCs w:val="24"/>
        </w:rPr>
        <w:t>．合格的投标人</w:t>
      </w:r>
    </w:p>
    <w:p w14:paraId="38BDA21C">
      <w:pPr>
        <w:adjustRightInd w:val="0"/>
        <w:snapToGrid w:val="0"/>
        <w:spacing w:line="360" w:lineRule="auto"/>
        <w:ind w:firstLine="480" w:firstLineChars="200"/>
        <w:jc w:val="left"/>
        <w:rPr>
          <w:sz w:val="24"/>
          <w:szCs w:val="24"/>
        </w:rPr>
      </w:pPr>
      <w:r>
        <w:rPr>
          <w:sz w:val="24"/>
          <w:szCs w:val="24"/>
        </w:rPr>
        <w:t>2.1</w:t>
      </w:r>
      <w:r>
        <w:rPr>
          <w:rFonts w:hint="eastAsia"/>
          <w:sz w:val="24"/>
          <w:szCs w:val="24"/>
        </w:rPr>
        <w:t>满足招标公告中投标人的资格要求的规定。</w:t>
      </w:r>
    </w:p>
    <w:p w14:paraId="5E00CFE8">
      <w:pPr>
        <w:adjustRightInd w:val="0"/>
        <w:snapToGrid w:val="0"/>
        <w:spacing w:line="360" w:lineRule="auto"/>
        <w:ind w:firstLine="480" w:firstLineChars="200"/>
        <w:jc w:val="left"/>
        <w:rPr>
          <w:sz w:val="24"/>
          <w:szCs w:val="24"/>
        </w:rPr>
      </w:pPr>
      <w:r>
        <w:rPr>
          <w:sz w:val="24"/>
          <w:szCs w:val="24"/>
        </w:rPr>
        <w:t xml:space="preserve">2.2 </w:t>
      </w:r>
      <w:r>
        <w:rPr>
          <w:rFonts w:hint="eastAsia"/>
          <w:sz w:val="24"/>
          <w:szCs w:val="24"/>
        </w:rPr>
        <w:t>满足本文件实质性条款的规定。</w:t>
      </w:r>
    </w:p>
    <w:p w14:paraId="6034D8E9">
      <w:pPr>
        <w:adjustRightInd w:val="0"/>
        <w:snapToGrid w:val="0"/>
        <w:spacing w:line="360" w:lineRule="auto"/>
        <w:ind w:firstLine="480" w:firstLineChars="200"/>
        <w:jc w:val="left"/>
        <w:rPr>
          <w:sz w:val="24"/>
          <w:szCs w:val="24"/>
        </w:rPr>
      </w:pPr>
      <w:r>
        <w:rPr>
          <w:sz w:val="24"/>
          <w:szCs w:val="24"/>
        </w:rPr>
        <w:t>3</w:t>
      </w:r>
      <w:r>
        <w:rPr>
          <w:rFonts w:hint="eastAsia"/>
          <w:sz w:val="24"/>
          <w:szCs w:val="24"/>
        </w:rPr>
        <w:t>．适用法律</w:t>
      </w:r>
    </w:p>
    <w:p w14:paraId="6672567B">
      <w:pPr>
        <w:adjustRightInd w:val="0"/>
        <w:snapToGrid w:val="0"/>
        <w:spacing w:line="360" w:lineRule="auto"/>
        <w:ind w:firstLine="480" w:firstLineChars="200"/>
        <w:jc w:val="left"/>
        <w:rPr>
          <w:sz w:val="24"/>
          <w:szCs w:val="24"/>
        </w:rPr>
      </w:pPr>
      <w:r>
        <w:rPr>
          <w:sz w:val="24"/>
          <w:szCs w:val="24"/>
        </w:rPr>
        <w:t xml:space="preserve">3.1 </w:t>
      </w:r>
      <w:r>
        <w:rPr>
          <w:rFonts w:hint="eastAsia"/>
          <w:sz w:val="24"/>
          <w:szCs w:val="24"/>
        </w:rPr>
        <w:t>本次招标及由此产生的合同受中华人民共和国有关的法律法规制约和保护。</w:t>
      </w:r>
    </w:p>
    <w:p w14:paraId="4B6CA5D8">
      <w:pPr>
        <w:adjustRightInd w:val="0"/>
        <w:snapToGrid w:val="0"/>
        <w:spacing w:line="360" w:lineRule="auto"/>
        <w:ind w:firstLine="480" w:firstLineChars="200"/>
        <w:jc w:val="left"/>
        <w:rPr>
          <w:sz w:val="24"/>
          <w:szCs w:val="24"/>
        </w:rPr>
      </w:pPr>
      <w:r>
        <w:rPr>
          <w:sz w:val="24"/>
          <w:szCs w:val="24"/>
        </w:rPr>
        <w:t>4</w:t>
      </w:r>
      <w:r>
        <w:rPr>
          <w:rFonts w:hint="eastAsia"/>
          <w:sz w:val="24"/>
          <w:szCs w:val="24"/>
        </w:rPr>
        <w:t>．投标费用</w:t>
      </w:r>
    </w:p>
    <w:p w14:paraId="22231E4C">
      <w:pPr>
        <w:adjustRightInd w:val="0"/>
        <w:snapToGrid w:val="0"/>
        <w:spacing w:line="360" w:lineRule="auto"/>
        <w:ind w:firstLine="480" w:firstLineChars="200"/>
        <w:jc w:val="left"/>
        <w:rPr>
          <w:sz w:val="24"/>
          <w:szCs w:val="24"/>
        </w:rPr>
      </w:pPr>
      <w:r>
        <w:rPr>
          <w:sz w:val="24"/>
          <w:szCs w:val="24"/>
        </w:rPr>
        <w:t xml:space="preserve">4.1 </w:t>
      </w:r>
      <w:r>
        <w:rPr>
          <w:rFonts w:hint="eastAsia"/>
          <w:sz w:val="24"/>
          <w:szCs w:val="24"/>
        </w:rPr>
        <w:t>投标人应自行承担所有与参加投标有关的费用，无论投标过程中的做法和结果如何，采购人在任何情况下均无义务和责任承担这些费用。</w:t>
      </w:r>
    </w:p>
    <w:p w14:paraId="74251FB8">
      <w:pPr>
        <w:adjustRightInd w:val="0"/>
        <w:snapToGrid w:val="0"/>
        <w:spacing w:line="360" w:lineRule="auto"/>
        <w:ind w:firstLine="480" w:firstLineChars="200"/>
        <w:rPr>
          <w:rFonts w:hint="default" w:eastAsia="宋体"/>
          <w:sz w:val="24"/>
          <w:szCs w:val="24"/>
          <w:lang w:val="en-US" w:eastAsia="zh-CN"/>
        </w:rPr>
      </w:pPr>
      <w:r>
        <w:rPr>
          <w:rFonts w:hint="eastAsia"/>
          <w:sz w:val="24"/>
          <w:szCs w:val="24"/>
          <w:lang w:val="en-US" w:eastAsia="zh-CN"/>
        </w:rPr>
        <w:t>4.2</w:t>
      </w:r>
      <w:r>
        <w:rPr>
          <w:rFonts w:hint="eastAsia" w:ascii="宋体" w:hAnsi="宋体" w:cs="Arial"/>
          <w:b/>
          <w:sz w:val="24"/>
        </w:rPr>
        <w:t>本项目招标代理费由中标单位支付，支付金额为中标价*2.5‰（当单项工程计费不足2000元，则以2000元计），请各投标供应商将此费用一并考虑在投标报价中。投标时做好费用准备，中标供应商在中标后向代理单位缴纳。</w:t>
      </w:r>
    </w:p>
    <w:p w14:paraId="384E0062">
      <w:pPr>
        <w:adjustRightInd w:val="0"/>
        <w:snapToGrid w:val="0"/>
        <w:spacing w:line="360" w:lineRule="auto"/>
        <w:ind w:firstLine="480" w:firstLineChars="200"/>
        <w:jc w:val="left"/>
        <w:rPr>
          <w:sz w:val="24"/>
          <w:szCs w:val="24"/>
        </w:rPr>
      </w:pPr>
      <w:r>
        <w:rPr>
          <w:sz w:val="24"/>
          <w:szCs w:val="24"/>
        </w:rPr>
        <w:t>5</w:t>
      </w:r>
      <w:r>
        <w:rPr>
          <w:rFonts w:hint="eastAsia"/>
          <w:sz w:val="24"/>
          <w:szCs w:val="24"/>
        </w:rPr>
        <w:t>．招标文件的约束力</w:t>
      </w:r>
    </w:p>
    <w:p w14:paraId="237180FA">
      <w:pPr>
        <w:adjustRightInd w:val="0"/>
        <w:snapToGrid w:val="0"/>
        <w:spacing w:line="360" w:lineRule="auto"/>
        <w:ind w:firstLine="480" w:firstLineChars="200"/>
        <w:jc w:val="left"/>
        <w:rPr>
          <w:sz w:val="24"/>
          <w:szCs w:val="24"/>
        </w:rPr>
      </w:pPr>
      <w:r>
        <w:rPr>
          <w:sz w:val="24"/>
          <w:szCs w:val="24"/>
        </w:rPr>
        <w:t xml:space="preserve">5.1 </w:t>
      </w:r>
      <w:r>
        <w:rPr>
          <w:rFonts w:hint="eastAsia"/>
          <w:sz w:val="24"/>
          <w:szCs w:val="24"/>
        </w:rPr>
        <w:t>投标人一旦领取本招标文件并决定参加投标，即被认为接受了本招标文件的规定和约束，并且视为自招标文件领取之日起已经知道或应当知道招标文件是否损害其自身权益。投标人一旦参加本项目投标，即表明承诺接受了本招标文件中的所有条件和规定。投标人应当按照招标文件的规定制作投标文件并参加投标。</w:t>
      </w:r>
    </w:p>
    <w:p w14:paraId="546DB456">
      <w:pPr>
        <w:adjustRightInd w:val="0"/>
        <w:snapToGrid w:val="0"/>
        <w:spacing w:line="360" w:lineRule="auto"/>
        <w:ind w:firstLine="482" w:firstLineChars="200"/>
        <w:jc w:val="left"/>
        <w:rPr>
          <w:b/>
          <w:sz w:val="24"/>
          <w:szCs w:val="24"/>
        </w:rPr>
      </w:pPr>
      <w:r>
        <w:rPr>
          <w:rFonts w:hint="eastAsia"/>
          <w:b/>
          <w:sz w:val="24"/>
          <w:szCs w:val="24"/>
        </w:rPr>
        <w:t>二、招标文件</w:t>
      </w:r>
    </w:p>
    <w:p w14:paraId="0FAC25F4">
      <w:pPr>
        <w:adjustRightInd w:val="0"/>
        <w:snapToGrid w:val="0"/>
        <w:spacing w:line="360" w:lineRule="auto"/>
        <w:ind w:firstLine="480" w:firstLineChars="200"/>
        <w:jc w:val="left"/>
        <w:rPr>
          <w:sz w:val="24"/>
          <w:szCs w:val="24"/>
        </w:rPr>
      </w:pPr>
      <w:r>
        <w:rPr>
          <w:sz w:val="24"/>
          <w:szCs w:val="24"/>
        </w:rPr>
        <w:t>6</w:t>
      </w:r>
      <w:r>
        <w:rPr>
          <w:rFonts w:hint="eastAsia"/>
          <w:sz w:val="24"/>
          <w:szCs w:val="24"/>
        </w:rPr>
        <w:t>．招标文件构成</w:t>
      </w:r>
    </w:p>
    <w:p w14:paraId="5A38CBE5">
      <w:pPr>
        <w:adjustRightInd w:val="0"/>
        <w:snapToGrid w:val="0"/>
        <w:spacing w:line="360" w:lineRule="auto"/>
        <w:ind w:firstLine="480" w:firstLineChars="200"/>
        <w:jc w:val="left"/>
        <w:rPr>
          <w:sz w:val="24"/>
          <w:szCs w:val="24"/>
        </w:rPr>
      </w:pPr>
      <w:r>
        <w:rPr>
          <w:sz w:val="24"/>
          <w:szCs w:val="24"/>
        </w:rPr>
        <w:t xml:space="preserve">6.1 </w:t>
      </w:r>
      <w:r>
        <w:rPr>
          <w:rFonts w:hint="eastAsia"/>
          <w:sz w:val="24"/>
          <w:szCs w:val="24"/>
        </w:rPr>
        <w:t>招标文件有以下部分组成：</w:t>
      </w:r>
    </w:p>
    <w:p w14:paraId="4FF2EA41">
      <w:pPr>
        <w:adjustRightInd w:val="0"/>
        <w:snapToGrid w:val="0"/>
        <w:spacing w:line="360" w:lineRule="auto"/>
        <w:ind w:firstLine="480" w:firstLineChars="200"/>
        <w:jc w:val="left"/>
        <w:rPr>
          <w:sz w:val="24"/>
          <w:szCs w:val="24"/>
        </w:rPr>
      </w:pPr>
      <w:r>
        <w:rPr>
          <w:rFonts w:hint="eastAsia"/>
          <w:sz w:val="24"/>
          <w:szCs w:val="24"/>
        </w:rPr>
        <w:t>（</w:t>
      </w:r>
      <w:r>
        <w:rPr>
          <w:sz w:val="24"/>
          <w:szCs w:val="24"/>
        </w:rPr>
        <w:t>1</w:t>
      </w:r>
      <w:r>
        <w:rPr>
          <w:rFonts w:hint="eastAsia"/>
          <w:sz w:val="24"/>
          <w:szCs w:val="24"/>
        </w:rPr>
        <w:t>）招标公告</w:t>
      </w:r>
    </w:p>
    <w:p w14:paraId="3511A631">
      <w:pPr>
        <w:adjustRightInd w:val="0"/>
        <w:snapToGrid w:val="0"/>
        <w:spacing w:line="360" w:lineRule="auto"/>
        <w:ind w:firstLine="480" w:firstLineChars="200"/>
        <w:jc w:val="left"/>
        <w:rPr>
          <w:sz w:val="24"/>
          <w:szCs w:val="24"/>
        </w:rPr>
      </w:pPr>
      <w:r>
        <w:rPr>
          <w:rFonts w:hint="eastAsia"/>
          <w:sz w:val="24"/>
          <w:szCs w:val="24"/>
        </w:rPr>
        <w:t>（</w:t>
      </w:r>
      <w:r>
        <w:rPr>
          <w:sz w:val="24"/>
          <w:szCs w:val="24"/>
        </w:rPr>
        <w:t>2</w:t>
      </w:r>
      <w:r>
        <w:rPr>
          <w:rFonts w:hint="eastAsia"/>
          <w:sz w:val="24"/>
          <w:szCs w:val="24"/>
        </w:rPr>
        <w:t>）投标人须知</w:t>
      </w:r>
    </w:p>
    <w:p w14:paraId="012172D5">
      <w:pPr>
        <w:adjustRightInd w:val="0"/>
        <w:snapToGrid w:val="0"/>
        <w:spacing w:line="360" w:lineRule="auto"/>
        <w:ind w:firstLine="480" w:firstLineChars="200"/>
        <w:jc w:val="left"/>
        <w:rPr>
          <w:sz w:val="24"/>
          <w:szCs w:val="24"/>
        </w:rPr>
      </w:pPr>
      <w:r>
        <w:rPr>
          <w:rFonts w:hint="eastAsia"/>
          <w:sz w:val="24"/>
          <w:szCs w:val="24"/>
        </w:rPr>
        <w:t>（</w:t>
      </w:r>
      <w:r>
        <w:rPr>
          <w:sz w:val="24"/>
          <w:szCs w:val="24"/>
        </w:rPr>
        <w:t>3</w:t>
      </w:r>
      <w:r>
        <w:rPr>
          <w:rFonts w:hint="eastAsia"/>
          <w:sz w:val="24"/>
          <w:szCs w:val="24"/>
        </w:rPr>
        <w:t>）项目需求</w:t>
      </w:r>
    </w:p>
    <w:p w14:paraId="7B3EFE5D">
      <w:pPr>
        <w:adjustRightInd w:val="0"/>
        <w:snapToGrid w:val="0"/>
        <w:spacing w:line="360" w:lineRule="auto"/>
        <w:ind w:firstLine="480" w:firstLineChars="200"/>
        <w:jc w:val="left"/>
        <w:rPr>
          <w:sz w:val="24"/>
          <w:szCs w:val="24"/>
        </w:rPr>
      </w:pPr>
      <w:r>
        <w:rPr>
          <w:rFonts w:hint="eastAsia"/>
          <w:sz w:val="24"/>
          <w:szCs w:val="24"/>
        </w:rPr>
        <w:t>（</w:t>
      </w:r>
      <w:r>
        <w:rPr>
          <w:sz w:val="24"/>
          <w:szCs w:val="24"/>
        </w:rPr>
        <w:t>4</w:t>
      </w:r>
      <w:r>
        <w:rPr>
          <w:rFonts w:hint="eastAsia"/>
          <w:sz w:val="24"/>
          <w:szCs w:val="24"/>
        </w:rPr>
        <w:t>）评标方法与评标标准</w:t>
      </w:r>
    </w:p>
    <w:p w14:paraId="3AB11D56">
      <w:pPr>
        <w:adjustRightInd w:val="0"/>
        <w:snapToGrid w:val="0"/>
        <w:spacing w:line="360" w:lineRule="auto"/>
        <w:ind w:firstLine="480" w:firstLineChars="200"/>
        <w:jc w:val="left"/>
        <w:rPr>
          <w:sz w:val="24"/>
          <w:szCs w:val="24"/>
        </w:rPr>
      </w:pPr>
      <w:r>
        <w:rPr>
          <w:rFonts w:hint="eastAsia"/>
          <w:sz w:val="24"/>
          <w:szCs w:val="24"/>
        </w:rPr>
        <w:t>（</w:t>
      </w:r>
      <w:r>
        <w:rPr>
          <w:sz w:val="24"/>
          <w:szCs w:val="24"/>
        </w:rPr>
        <w:t>5</w:t>
      </w:r>
      <w:r>
        <w:rPr>
          <w:rFonts w:hint="eastAsia"/>
          <w:sz w:val="24"/>
          <w:szCs w:val="24"/>
        </w:rPr>
        <w:t>）投标文件格式</w:t>
      </w:r>
    </w:p>
    <w:p w14:paraId="37BF52AC">
      <w:pPr>
        <w:pStyle w:val="9"/>
      </w:pPr>
      <w:r>
        <w:rPr>
          <w:rFonts w:hint="eastAsia"/>
          <w:sz w:val="24"/>
          <w:szCs w:val="24"/>
        </w:rPr>
        <w:t xml:space="preserve">    （6）合同</w:t>
      </w:r>
    </w:p>
    <w:p w14:paraId="41D34F93">
      <w:pPr>
        <w:adjustRightInd w:val="0"/>
        <w:snapToGrid w:val="0"/>
        <w:spacing w:line="360" w:lineRule="auto"/>
        <w:ind w:firstLine="480" w:firstLineChars="200"/>
        <w:jc w:val="left"/>
        <w:rPr>
          <w:sz w:val="24"/>
          <w:szCs w:val="24"/>
        </w:rPr>
      </w:pPr>
      <w:r>
        <w:rPr>
          <w:rFonts w:hint="eastAsia"/>
          <w:sz w:val="24"/>
          <w:szCs w:val="24"/>
        </w:rPr>
        <w:t>请仔细检查招标文件是否齐全，如有缺漏请立即与建达公司联系解决。</w:t>
      </w:r>
    </w:p>
    <w:p w14:paraId="62A091FE">
      <w:pPr>
        <w:adjustRightInd w:val="0"/>
        <w:snapToGrid w:val="0"/>
        <w:spacing w:line="360" w:lineRule="auto"/>
        <w:ind w:firstLine="480" w:firstLineChars="200"/>
        <w:jc w:val="left"/>
        <w:rPr>
          <w:sz w:val="24"/>
          <w:szCs w:val="24"/>
        </w:rPr>
      </w:pPr>
      <w:r>
        <w:rPr>
          <w:sz w:val="24"/>
          <w:szCs w:val="24"/>
        </w:rPr>
        <w:t xml:space="preserve">6.2 </w:t>
      </w:r>
      <w:r>
        <w:rPr>
          <w:rFonts w:hint="eastAsia"/>
          <w:sz w:val="24"/>
          <w:szCs w:val="24"/>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450DA413">
      <w:pPr>
        <w:adjustRightInd w:val="0"/>
        <w:snapToGrid w:val="0"/>
        <w:spacing w:line="360" w:lineRule="auto"/>
        <w:ind w:firstLine="480" w:firstLineChars="200"/>
        <w:jc w:val="left"/>
        <w:rPr>
          <w:sz w:val="24"/>
          <w:szCs w:val="24"/>
        </w:rPr>
      </w:pPr>
      <w:r>
        <w:rPr>
          <w:sz w:val="24"/>
          <w:szCs w:val="24"/>
        </w:rPr>
        <w:t>7</w:t>
      </w:r>
      <w:r>
        <w:rPr>
          <w:rFonts w:hint="eastAsia"/>
          <w:sz w:val="24"/>
          <w:szCs w:val="24"/>
        </w:rPr>
        <w:t>．招标文件的澄清</w:t>
      </w:r>
    </w:p>
    <w:p w14:paraId="375C4ED6">
      <w:pPr>
        <w:adjustRightInd w:val="0"/>
        <w:snapToGrid w:val="0"/>
        <w:spacing w:line="360" w:lineRule="auto"/>
        <w:ind w:firstLine="480" w:firstLineChars="200"/>
        <w:jc w:val="left"/>
        <w:rPr>
          <w:sz w:val="24"/>
          <w:szCs w:val="24"/>
        </w:rPr>
      </w:pPr>
      <w:r>
        <w:rPr>
          <w:sz w:val="24"/>
          <w:szCs w:val="24"/>
        </w:rPr>
        <w:t xml:space="preserve">7.1 </w:t>
      </w:r>
      <w:r>
        <w:rPr>
          <w:rFonts w:hint="eastAsia"/>
          <w:sz w:val="24"/>
          <w:szCs w:val="24"/>
        </w:rPr>
        <w:t>任何要求对招标文件进行澄清的投标人，均应在投标截止期十日前按招标公告中的联系方式，以书面形式提交给采购人。采购人认为已发布的招标文件确有必要澄清或者修改的，将在</w:t>
      </w:r>
      <w:r>
        <w:rPr>
          <w:rFonts w:hint="eastAsia" w:ascii="宋体" w:hAnsi="宋体" w:cs="宋体"/>
          <w:sz w:val="24"/>
          <w:szCs w:val="24"/>
        </w:rPr>
        <w:t>“如东水务集团有限公司官网”和“如东县限额交易网”</w:t>
      </w:r>
      <w:r>
        <w:rPr>
          <w:rFonts w:hint="eastAsia"/>
          <w:sz w:val="24"/>
          <w:szCs w:val="24"/>
        </w:rPr>
        <w:t>发布更正公告或就个性化的问题回复提出澄清要求的潜在投标人。</w:t>
      </w:r>
    </w:p>
    <w:p w14:paraId="6B492ABA">
      <w:pPr>
        <w:adjustRightInd w:val="0"/>
        <w:snapToGrid w:val="0"/>
        <w:spacing w:line="360" w:lineRule="auto"/>
        <w:ind w:firstLine="480" w:firstLineChars="200"/>
        <w:jc w:val="left"/>
        <w:rPr>
          <w:sz w:val="24"/>
          <w:szCs w:val="24"/>
        </w:rPr>
      </w:pPr>
      <w:r>
        <w:rPr>
          <w:sz w:val="24"/>
          <w:szCs w:val="24"/>
        </w:rPr>
        <w:t>8</w:t>
      </w:r>
      <w:r>
        <w:rPr>
          <w:rFonts w:hint="eastAsia"/>
          <w:sz w:val="24"/>
          <w:szCs w:val="24"/>
        </w:rPr>
        <w:t>．招标文件的修改</w:t>
      </w:r>
    </w:p>
    <w:p w14:paraId="70F90A3E">
      <w:pPr>
        <w:adjustRightInd w:val="0"/>
        <w:snapToGrid w:val="0"/>
        <w:spacing w:line="360" w:lineRule="auto"/>
        <w:ind w:firstLine="480" w:firstLineChars="200"/>
        <w:jc w:val="left"/>
        <w:rPr>
          <w:sz w:val="24"/>
          <w:szCs w:val="24"/>
        </w:rPr>
      </w:pPr>
      <w:r>
        <w:rPr>
          <w:rFonts w:hint="eastAsia"/>
          <w:sz w:val="24"/>
          <w:szCs w:val="24"/>
        </w:rPr>
        <w:t>8.1 在投标截止时间前，采购人可以对招标文件进行修改。</w:t>
      </w:r>
    </w:p>
    <w:p w14:paraId="1D0AE34A">
      <w:pPr>
        <w:adjustRightInd w:val="0"/>
        <w:snapToGrid w:val="0"/>
        <w:spacing w:line="360" w:lineRule="auto"/>
        <w:ind w:firstLine="480" w:firstLineChars="200"/>
        <w:jc w:val="left"/>
        <w:rPr>
          <w:sz w:val="24"/>
          <w:szCs w:val="24"/>
        </w:rPr>
      </w:pPr>
      <w:r>
        <w:rPr>
          <w:rFonts w:hint="eastAsia"/>
          <w:sz w:val="24"/>
          <w:szCs w:val="24"/>
        </w:rPr>
        <w:t>8.2 采购人有权按照法定的要求推迟投标截止日期和开标日期。</w:t>
      </w:r>
    </w:p>
    <w:p w14:paraId="45BE3D9D">
      <w:pPr>
        <w:adjustRightInd w:val="0"/>
        <w:snapToGrid w:val="0"/>
        <w:spacing w:line="360" w:lineRule="auto"/>
        <w:ind w:firstLine="480" w:firstLineChars="200"/>
        <w:jc w:val="left"/>
        <w:rPr>
          <w:sz w:val="24"/>
          <w:szCs w:val="24"/>
        </w:rPr>
      </w:pPr>
      <w:r>
        <w:rPr>
          <w:rFonts w:hint="eastAsia"/>
          <w:sz w:val="24"/>
          <w:szCs w:val="24"/>
        </w:rPr>
        <w:t>8.3 招标文件的修改将在“如东水务集团有限公司官网”和“如东县限额交易网”公布，补充文件将作为招标文件的组成部分，并对投标人具有约束力。</w:t>
      </w:r>
    </w:p>
    <w:p w14:paraId="2E4E7E90">
      <w:pPr>
        <w:adjustRightInd w:val="0"/>
        <w:snapToGrid w:val="0"/>
        <w:spacing w:line="360" w:lineRule="auto"/>
        <w:ind w:firstLine="482" w:firstLineChars="200"/>
        <w:jc w:val="left"/>
        <w:rPr>
          <w:b/>
          <w:sz w:val="24"/>
          <w:szCs w:val="24"/>
        </w:rPr>
      </w:pPr>
      <w:r>
        <w:rPr>
          <w:rFonts w:hint="eastAsia"/>
          <w:b/>
          <w:sz w:val="24"/>
          <w:szCs w:val="24"/>
        </w:rPr>
        <w:t>三、投标文件的编制</w:t>
      </w:r>
    </w:p>
    <w:p w14:paraId="145A1B94">
      <w:pPr>
        <w:adjustRightInd w:val="0"/>
        <w:snapToGrid w:val="0"/>
        <w:spacing w:line="360" w:lineRule="auto"/>
        <w:ind w:firstLine="480" w:firstLineChars="200"/>
        <w:jc w:val="left"/>
        <w:rPr>
          <w:sz w:val="24"/>
          <w:szCs w:val="24"/>
        </w:rPr>
      </w:pPr>
      <w:r>
        <w:rPr>
          <w:sz w:val="24"/>
          <w:szCs w:val="24"/>
        </w:rPr>
        <w:t>9</w:t>
      </w:r>
      <w:r>
        <w:rPr>
          <w:rFonts w:hint="eastAsia"/>
          <w:sz w:val="24"/>
          <w:szCs w:val="24"/>
        </w:rPr>
        <w:t>．投标文件的语言及度量衡单位</w:t>
      </w:r>
    </w:p>
    <w:p w14:paraId="5FE0B842">
      <w:pPr>
        <w:adjustRightInd w:val="0"/>
        <w:snapToGrid w:val="0"/>
        <w:spacing w:line="360" w:lineRule="auto"/>
        <w:ind w:firstLine="480" w:firstLineChars="200"/>
        <w:jc w:val="left"/>
        <w:rPr>
          <w:sz w:val="24"/>
          <w:szCs w:val="24"/>
        </w:rPr>
      </w:pPr>
      <w:r>
        <w:rPr>
          <w:sz w:val="24"/>
          <w:szCs w:val="24"/>
        </w:rPr>
        <w:t xml:space="preserve">9.1 </w:t>
      </w:r>
      <w:r>
        <w:rPr>
          <w:rFonts w:hint="eastAsia"/>
          <w:sz w:val="24"/>
          <w:szCs w:val="24"/>
        </w:rPr>
        <w:t>投标人提交的投标文件以及投标人与采购人就有关投标的所有来往通知、函件和文件均应使用简体中文。</w:t>
      </w:r>
    </w:p>
    <w:p w14:paraId="4B099E5B">
      <w:pPr>
        <w:adjustRightInd w:val="0"/>
        <w:snapToGrid w:val="0"/>
        <w:spacing w:line="360" w:lineRule="auto"/>
        <w:ind w:firstLine="480" w:firstLineChars="200"/>
        <w:jc w:val="left"/>
        <w:rPr>
          <w:sz w:val="24"/>
          <w:szCs w:val="24"/>
        </w:rPr>
      </w:pPr>
      <w:r>
        <w:rPr>
          <w:sz w:val="24"/>
          <w:szCs w:val="24"/>
        </w:rPr>
        <w:t xml:space="preserve">9.2 </w:t>
      </w:r>
      <w:r>
        <w:rPr>
          <w:rFonts w:hint="eastAsia"/>
          <w:sz w:val="24"/>
          <w:szCs w:val="24"/>
        </w:rPr>
        <w:t>除技术性能另有规定外，投标文件所使用的度量衡单位，均须采用国家法定计量单位。</w:t>
      </w:r>
    </w:p>
    <w:p w14:paraId="4B0CF5DB">
      <w:pPr>
        <w:adjustRightInd w:val="0"/>
        <w:snapToGrid w:val="0"/>
        <w:spacing w:line="360" w:lineRule="auto"/>
        <w:ind w:firstLine="480" w:firstLineChars="200"/>
        <w:jc w:val="left"/>
        <w:rPr>
          <w:sz w:val="24"/>
          <w:szCs w:val="24"/>
        </w:rPr>
      </w:pPr>
      <w:r>
        <w:rPr>
          <w:sz w:val="24"/>
          <w:szCs w:val="24"/>
        </w:rPr>
        <w:t>10</w:t>
      </w:r>
      <w:r>
        <w:rPr>
          <w:rFonts w:hint="eastAsia"/>
          <w:sz w:val="24"/>
          <w:szCs w:val="24"/>
        </w:rPr>
        <w:t>．投标文件构成</w:t>
      </w:r>
    </w:p>
    <w:p w14:paraId="4B40A282">
      <w:pPr>
        <w:adjustRightInd w:val="0"/>
        <w:snapToGrid w:val="0"/>
        <w:spacing w:line="360" w:lineRule="auto"/>
        <w:ind w:firstLine="480"/>
        <w:rPr>
          <w:rFonts w:hint="eastAsia" w:ascii="宋体" w:hAnsi="宋体" w:cs="宋体"/>
          <w:sz w:val="24"/>
          <w:szCs w:val="24"/>
        </w:rPr>
      </w:pPr>
      <w:r>
        <w:rPr>
          <w:rFonts w:hint="eastAsia" w:ascii="宋体" w:hAnsi="宋体" w:cs="宋体"/>
          <w:bCs/>
          <w:sz w:val="24"/>
          <w:szCs w:val="24"/>
        </w:rPr>
        <w:t>10.1</w:t>
      </w:r>
      <w:r>
        <w:rPr>
          <w:rFonts w:hint="eastAsia" w:ascii="宋体" w:hAnsi="宋体" w:cs="宋体"/>
          <w:sz w:val="24"/>
          <w:szCs w:val="24"/>
        </w:rPr>
        <w:t>具体详见“第五章 投标文件格式”投标文件主要目录。</w:t>
      </w:r>
    </w:p>
    <w:p w14:paraId="09A727CD">
      <w:pPr>
        <w:adjustRightInd w:val="0"/>
        <w:snapToGrid w:val="0"/>
        <w:spacing w:line="360" w:lineRule="auto"/>
        <w:ind w:firstLine="480"/>
        <w:rPr>
          <w:rFonts w:hint="eastAsia" w:ascii="宋体" w:hAnsi="宋体" w:cs="宋体"/>
          <w:sz w:val="24"/>
          <w:szCs w:val="24"/>
        </w:rPr>
      </w:pPr>
      <w:r>
        <w:rPr>
          <w:rFonts w:hint="eastAsia" w:ascii="宋体" w:hAnsi="宋体" w:cs="宋体"/>
          <w:sz w:val="24"/>
          <w:szCs w:val="24"/>
        </w:rPr>
        <w:t>10.2投标人应将投标文件按顺序装订成册，并编制投标文件资料目录。</w:t>
      </w:r>
    </w:p>
    <w:p w14:paraId="6CAE9D64">
      <w:pPr>
        <w:tabs>
          <w:tab w:val="left" w:pos="945"/>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10.3投标文件参照投标文件格式中“投标主要文件目录”的顺序制作，并请编制目录。由于</w:t>
      </w:r>
      <w:r>
        <w:rPr>
          <w:rFonts w:hint="eastAsia" w:ascii="宋体" w:hAnsi="宋体" w:cs="宋体"/>
          <w:bCs/>
          <w:sz w:val="24"/>
          <w:szCs w:val="24"/>
        </w:rPr>
        <w:t>不按要求编排，编排混乱等导致投标文件被误读或查找不到，责任由投标人承担。</w:t>
      </w:r>
    </w:p>
    <w:p w14:paraId="01D8EED5">
      <w:pPr>
        <w:adjustRightInd w:val="0"/>
        <w:snapToGrid w:val="0"/>
        <w:spacing w:line="360" w:lineRule="auto"/>
        <w:ind w:firstLine="480" w:firstLineChars="200"/>
        <w:jc w:val="left"/>
        <w:rPr>
          <w:sz w:val="24"/>
          <w:szCs w:val="24"/>
        </w:rPr>
      </w:pPr>
      <w:r>
        <w:rPr>
          <w:sz w:val="24"/>
          <w:szCs w:val="24"/>
        </w:rPr>
        <w:t>11</w:t>
      </w:r>
      <w:r>
        <w:rPr>
          <w:rFonts w:hint="eastAsia"/>
          <w:sz w:val="24"/>
          <w:szCs w:val="24"/>
        </w:rPr>
        <w:t>．证明投标人资格及符合招标文件规定的文件</w:t>
      </w:r>
    </w:p>
    <w:p w14:paraId="7A4F0B43">
      <w:pPr>
        <w:pStyle w:val="5"/>
        <w:adjustRightInd w:val="0"/>
        <w:snapToGrid w:val="0"/>
        <w:spacing w:before="0" w:after="0" w:line="360" w:lineRule="auto"/>
        <w:ind w:firstLine="360" w:firstLineChars="150"/>
        <w:rPr>
          <w:sz w:val="24"/>
          <w:szCs w:val="24"/>
        </w:rPr>
      </w:pPr>
      <w:r>
        <w:rPr>
          <w:rFonts w:hint="eastAsia" w:ascii="Calibri" w:hAnsi="Calibri" w:eastAsia="宋体" w:cs="Times New Roman"/>
          <w:b w:val="0"/>
          <w:bCs w:val="0"/>
          <w:sz w:val="24"/>
          <w:szCs w:val="24"/>
        </w:rPr>
        <w:t>12．</w:t>
      </w:r>
      <w:r>
        <w:rPr>
          <w:rFonts w:hint="eastAsia" w:ascii="宋体" w:hAnsi="宋体" w:eastAsia="宋体" w:cs="宋体"/>
          <w:b w:val="0"/>
          <w:bCs w:val="0"/>
          <w:sz w:val="24"/>
          <w:szCs w:val="24"/>
        </w:rPr>
        <w:t>投标报价</w:t>
      </w:r>
    </w:p>
    <w:p w14:paraId="456FF7C9">
      <w:pPr>
        <w:adjustRightInd w:val="0"/>
        <w:snapToGrid w:val="0"/>
        <w:spacing w:line="360" w:lineRule="auto"/>
        <w:ind w:firstLine="480" w:firstLineChars="200"/>
        <w:jc w:val="left"/>
        <w:rPr>
          <w:sz w:val="24"/>
          <w:szCs w:val="24"/>
        </w:rPr>
      </w:pPr>
      <w:r>
        <w:rPr>
          <w:sz w:val="24"/>
          <w:szCs w:val="24"/>
        </w:rPr>
        <w:t>12.1</w:t>
      </w:r>
      <w:r>
        <w:rPr>
          <w:rFonts w:hint="eastAsia"/>
          <w:sz w:val="24"/>
          <w:szCs w:val="24"/>
        </w:rPr>
        <w:t>投标人应按照招标文件规定格式填报项目报价表。只允许有一个报价，任何有选择的报价将不予接受。</w:t>
      </w:r>
    </w:p>
    <w:p w14:paraId="7381C0E5">
      <w:pPr>
        <w:adjustRightInd w:val="0"/>
        <w:snapToGrid w:val="0"/>
        <w:spacing w:line="360" w:lineRule="auto"/>
        <w:ind w:firstLine="480" w:firstLineChars="200"/>
        <w:jc w:val="left"/>
        <w:rPr>
          <w:sz w:val="24"/>
          <w:szCs w:val="24"/>
        </w:rPr>
      </w:pPr>
      <w:r>
        <w:rPr>
          <w:sz w:val="24"/>
          <w:szCs w:val="24"/>
        </w:rPr>
        <w:t>12.2</w:t>
      </w:r>
      <w:r>
        <w:rPr>
          <w:rFonts w:hint="eastAsia"/>
          <w:sz w:val="24"/>
          <w:szCs w:val="24"/>
        </w:rPr>
        <w:t>标的物</w:t>
      </w:r>
    </w:p>
    <w:p w14:paraId="53D1FA17">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采购人需求的有关技术服务等。</w:t>
      </w:r>
    </w:p>
    <w:p w14:paraId="39742996">
      <w:pPr>
        <w:adjustRightInd w:val="0"/>
        <w:snapToGrid w:val="0"/>
        <w:spacing w:line="360" w:lineRule="auto"/>
        <w:ind w:firstLine="480" w:firstLineChars="200"/>
        <w:jc w:val="left"/>
        <w:rPr>
          <w:sz w:val="24"/>
          <w:szCs w:val="24"/>
        </w:rPr>
      </w:pPr>
      <w:r>
        <w:rPr>
          <w:sz w:val="24"/>
          <w:szCs w:val="24"/>
        </w:rPr>
        <w:t>12.3</w:t>
      </w:r>
      <w:r>
        <w:rPr>
          <w:rFonts w:hint="eastAsia"/>
          <w:sz w:val="24"/>
          <w:szCs w:val="24"/>
        </w:rPr>
        <w:t>有关费用处理</w:t>
      </w:r>
    </w:p>
    <w:p w14:paraId="386C222E">
      <w:pPr>
        <w:adjustRightInd w:val="0"/>
        <w:snapToGrid w:val="0"/>
        <w:spacing w:line="360" w:lineRule="auto"/>
        <w:ind w:firstLine="482" w:firstLineChars="200"/>
        <w:jc w:val="left"/>
        <w:rPr>
          <w:rFonts w:cs="宋体"/>
          <w:b/>
          <w:bCs/>
          <w:kern w:val="0"/>
          <w:sz w:val="24"/>
          <w:szCs w:val="24"/>
        </w:rPr>
      </w:pPr>
      <w:r>
        <w:rPr>
          <w:rFonts w:hint="eastAsia" w:cs="宋体"/>
          <w:b/>
          <w:bCs/>
          <w:kern w:val="0"/>
          <w:sz w:val="24"/>
          <w:szCs w:val="24"/>
          <w:highlight w:val="none"/>
        </w:rPr>
        <w:t>投标报价中应包括完成本项目所需的一切费用【</w:t>
      </w:r>
      <w:r>
        <w:rPr>
          <w:rFonts w:hint="eastAsia" w:ascii="宋体" w:hAnsi="宋体" w:cs="宋体"/>
          <w:b/>
          <w:sz w:val="24"/>
          <w:szCs w:val="24"/>
          <w:highlight w:val="none"/>
        </w:rPr>
        <w:t>包含完成该项工作所需的人工费（包括人员工资、福利费、意外保险、</w:t>
      </w:r>
      <w:r>
        <w:rPr>
          <w:rFonts w:hint="eastAsia" w:ascii="宋体" w:hAnsi="宋体" w:cs="宋体"/>
          <w:b/>
          <w:sz w:val="24"/>
          <w:szCs w:val="24"/>
        </w:rPr>
        <w:t>伙食费、差旅费等），同时，报价也应包含合同履行过程中可能发生的一切风险</w:t>
      </w:r>
      <w:r>
        <w:rPr>
          <w:rFonts w:hint="eastAsia" w:cs="宋体"/>
          <w:b/>
          <w:bCs/>
          <w:kern w:val="0"/>
          <w:sz w:val="24"/>
          <w:szCs w:val="24"/>
        </w:rPr>
        <w:t>】。</w:t>
      </w:r>
    </w:p>
    <w:p w14:paraId="27680B84">
      <w:pPr>
        <w:adjustRightInd w:val="0"/>
        <w:snapToGrid w:val="0"/>
        <w:spacing w:line="360" w:lineRule="auto"/>
        <w:ind w:firstLine="480" w:firstLineChars="200"/>
        <w:jc w:val="left"/>
        <w:rPr>
          <w:sz w:val="24"/>
          <w:szCs w:val="24"/>
        </w:rPr>
      </w:pPr>
      <w:r>
        <w:rPr>
          <w:sz w:val="24"/>
          <w:szCs w:val="24"/>
        </w:rPr>
        <w:t>12.4</w:t>
      </w:r>
      <w:r>
        <w:rPr>
          <w:rFonts w:hint="eastAsia"/>
          <w:sz w:val="24"/>
          <w:szCs w:val="24"/>
        </w:rPr>
        <w:t>其它费用处理</w:t>
      </w:r>
    </w:p>
    <w:p w14:paraId="5D8E8165">
      <w:pPr>
        <w:adjustRightInd w:val="0"/>
        <w:snapToGrid w:val="0"/>
        <w:spacing w:line="360" w:lineRule="auto"/>
        <w:ind w:firstLine="480" w:firstLineChars="200"/>
        <w:jc w:val="left"/>
        <w:rPr>
          <w:sz w:val="24"/>
          <w:szCs w:val="24"/>
        </w:rPr>
      </w:pPr>
      <w:r>
        <w:rPr>
          <w:rFonts w:hint="eastAsia"/>
          <w:sz w:val="24"/>
          <w:szCs w:val="24"/>
        </w:rPr>
        <w:t>招标文件未列明，而投标人认为必需的费用也须列入报价。</w:t>
      </w:r>
    </w:p>
    <w:p w14:paraId="3F06F39B">
      <w:pPr>
        <w:adjustRightInd w:val="0"/>
        <w:snapToGrid w:val="0"/>
        <w:spacing w:line="360" w:lineRule="auto"/>
        <w:ind w:firstLine="480" w:firstLineChars="200"/>
        <w:jc w:val="left"/>
        <w:rPr>
          <w:sz w:val="24"/>
          <w:szCs w:val="24"/>
        </w:rPr>
      </w:pPr>
      <w:r>
        <w:rPr>
          <w:sz w:val="24"/>
          <w:szCs w:val="24"/>
        </w:rPr>
        <w:t>12.5</w:t>
      </w:r>
      <w:r>
        <w:rPr>
          <w:rFonts w:hint="eastAsia"/>
          <w:sz w:val="24"/>
          <w:szCs w:val="24"/>
        </w:rPr>
        <w:t>投标货币</w:t>
      </w:r>
    </w:p>
    <w:p w14:paraId="08BC5B14">
      <w:pPr>
        <w:adjustRightInd w:val="0"/>
        <w:snapToGrid w:val="0"/>
        <w:spacing w:line="360" w:lineRule="auto"/>
        <w:ind w:firstLine="480" w:firstLineChars="200"/>
        <w:jc w:val="left"/>
        <w:rPr>
          <w:sz w:val="24"/>
          <w:szCs w:val="24"/>
        </w:rPr>
      </w:pPr>
      <w:r>
        <w:rPr>
          <w:rFonts w:hint="eastAsia"/>
          <w:sz w:val="24"/>
          <w:szCs w:val="24"/>
        </w:rPr>
        <w:t>投标文件中的货物或服务单价和总价无特殊规定的采用人民币报价，以报价表要求的为单位标注。招标文件中另有规定的按规定执行。</w:t>
      </w:r>
    </w:p>
    <w:p w14:paraId="3CFEB29B">
      <w:pPr>
        <w:adjustRightInd w:val="0"/>
        <w:snapToGrid w:val="0"/>
        <w:spacing w:line="360" w:lineRule="auto"/>
        <w:ind w:firstLine="480" w:firstLineChars="200"/>
        <w:jc w:val="left"/>
        <w:rPr>
          <w:sz w:val="24"/>
          <w:szCs w:val="24"/>
        </w:rPr>
      </w:pPr>
      <w:r>
        <w:rPr>
          <w:sz w:val="24"/>
          <w:szCs w:val="24"/>
        </w:rPr>
        <w:t>12.6</w:t>
      </w:r>
      <w:r>
        <w:rPr>
          <w:rFonts w:hint="eastAsia"/>
          <w:sz w:val="24"/>
          <w:szCs w:val="24"/>
        </w:rPr>
        <w:t>投标项目报价表上的价格应按下列方式分开填写：</w:t>
      </w:r>
    </w:p>
    <w:p w14:paraId="1216C1D2">
      <w:pPr>
        <w:adjustRightInd w:val="0"/>
        <w:snapToGrid w:val="0"/>
        <w:spacing w:line="360" w:lineRule="auto"/>
        <w:ind w:firstLine="480" w:firstLineChars="200"/>
        <w:jc w:val="left"/>
        <w:rPr>
          <w:sz w:val="24"/>
          <w:szCs w:val="24"/>
        </w:rPr>
      </w:pPr>
      <w:r>
        <w:rPr>
          <w:rFonts w:hint="eastAsia"/>
          <w:sz w:val="24"/>
          <w:szCs w:val="24"/>
        </w:rPr>
        <w:t>项目分项报价按项目报价表中要求填报。</w:t>
      </w:r>
    </w:p>
    <w:p w14:paraId="0E166325">
      <w:pPr>
        <w:adjustRightInd w:val="0"/>
        <w:snapToGrid w:val="0"/>
        <w:spacing w:line="360" w:lineRule="auto"/>
        <w:ind w:firstLine="480" w:firstLineChars="200"/>
        <w:jc w:val="left"/>
        <w:rPr>
          <w:sz w:val="24"/>
          <w:szCs w:val="24"/>
        </w:rPr>
      </w:pPr>
      <w:r>
        <w:rPr>
          <w:sz w:val="24"/>
          <w:szCs w:val="24"/>
        </w:rPr>
        <w:t>13</w:t>
      </w:r>
      <w:r>
        <w:rPr>
          <w:rFonts w:hint="eastAsia"/>
          <w:sz w:val="24"/>
          <w:szCs w:val="24"/>
        </w:rPr>
        <w:t>．商务条款响应及偏离表</w:t>
      </w:r>
    </w:p>
    <w:p w14:paraId="0BE62B5B">
      <w:pPr>
        <w:adjustRightInd w:val="0"/>
        <w:snapToGrid w:val="0"/>
        <w:spacing w:line="360" w:lineRule="auto"/>
        <w:ind w:firstLine="480" w:firstLineChars="200"/>
        <w:jc w:val="left"/>
        <w:rPr>
          <w:sz w:val="24"/>
          <w:szCs w:val="24"/>
        </w:rPr>
      </w:pPr>
      <w:r>
        <w:rPr>
          <w:sz w:val="24"/>
          <w:szCs w:val="24"/>
        </w:rPr>
        <w:t xml:space="preserve">13.1 </w:t>
      </w:r>
      <w:r>
        <w:rPr>
          <w:rFonts w:hint="eastAsia"/>
          <w:sz w:val="24"/>
          <w:szCs w:val="24"/>
        </w:rPr>
        <w:t>对招标文件中的商务条款要求逐项作出响应或偏离，并说明原因；若出现缺、漏项和描述不清的均视为负偏离处理。</w:t>
      </w:r>
    </w:p>
    <w:p w14:paraId="1819FC48">
      <w:pPr>
        <w:adjustRightInd w:val="0"/>
        <w:snapToGrid w:val="0"/>
        <w:spacing w:line="360" w:lineRule="auto"/>
        <w:ind w:firstLine="480" w:firstLineChars="200"/>
        <w:jc w:val="left"/>
        <w:rPr>
          <w:sz w:val="24"/>
          <w:szCs w:val="24"/>
        </w:rPr>
      </w:pPr>
      <w:r>
        <w:rPr>
          <w:sz w:val="24"/>
          <w:szCs w:val="24"/>
        </w:rPr>
        <w:t xml:space="preserve">13.2 </w:t>
      </w:r>
      <w:r>
        <w:rPr>
          <w:rFonts w:hint="eastAsia"/>
          <w:sz w:val="24"/>
          <w:szCs w:val="24"/>
        </w:rPr>
        <w:t>详细阐述所投货物的主要组成部分、实现思路及关键技术；</w:t>
      </w:r>
    </w:p>
    <w:p w14:paraId="37F00ECE">
      <w:pPr>
        <w:adjustRightInd w:val="0"/>
        <w:snapToGrid w:val="0"/>
        <w:spacing w:line="360" w:lineRule="auto"/>
        <w:ind w:firstLine="480" w:firstLineChars="200"/>
        <w:jc w:val="left"/>
        <w:rPr>
          <w:sz w:val="24"/>
          <w:szCs w:val="24"/>
        </w:rPr>
      </w:pPr>
      <w:r>
        <w:rPr>
          <w:sz w:val="24"/>
          <w:szCs w:val="24"/>
        </w:rPr>
        <w:t xml:space="preserve">13.3 </w:t>
      </w:r>
      <w:r>
        <w:rPr>
          <w:rFonts w:hint="eastAsia"/>
          <w:sz w:val="24"/>
          <w:szCs w:val="24"/>
        </w:rPr>
        <w:t>投标人认为需要的其他技术文件或说明。</w:t>
      </w:r>
    </w:p>
    <w:p w14:paraId="0F74B49A">
      <w:pPr>
        <w:adjustRightInd w:val="0"/>
        <w:snapToGrid w:val="0"/>
        <w:spacing w:line="360" w:lineRule="auto"/>
        <w:ind w:firstLine="480" w:firstLineChars="200"/>
        <w:jc w:val="left"/>
        <w:rPr>
          <w:sz w:val="24"/>
          <w:szCs w:val="24"/>
        </w:rPr>
      </w:pPr>
      <w:r>
        <w:rPr>
          <w:sz w:val="24"/>
          <w:szCs w:val="24"/>
        </w:rPr>
        <w:t>14</w:t>
      </w:r>
      <w:r>
        <w:rPr>
          <w:rFonts w:hint="eastAsia"/>
          <w:sz w:val="24"/>
          <w:szCs w:val="24"/>
        </w:rPr>
        <w:t>．服务承诺及售后服务机构、人员的情况介绍</w:t>
      </w:r>
    </w:p>
    <w:p w14:paraId="0B414187">
      <w:pPr>
        <w:adjustRightInd w:val="0"/>
        <w:snapToGrid w:val="0"/>
        <w:spacing w:line="360" w:lineRule="auto"/>
        <w:ind w:firstLine="480" w:firstLineChars="200"/>
        <w:jc w:val="left"/>
        <w:rPr>
          <w:sz w:val="24"/>
          <w:szCs w:val="24"/>
        </w:rPr>
      </w:pPr>
      <w:r>
        <w:rPr>
          <w:sz w:val="24"/>
          <w:szCs w:val="24"/>
        </w:rPr>
        <w:t>14.1</w:t>
      </w:r>
      <w:r>
        <w:rPr>
          <w:rFonts w:hint="eastAsia"/>
          <w:sz w:val="24"/>
          <w:szCs w:val="24"/>
        </w:rPr>
        <w:t>投标人的服务承诺应按不低于招标文件中商务要求的标准。</w:t>
      </w:r>
    </w:p>
    <w:p w14:paraId="617B99C1">
      <w:pPr>
        <w:adjustRightInd w:val="0"/>
        <w:snapToGrid w:val="0"/>
        <w:spacing w:line="360" w:lineRule="auto"/>
        <w:ind w:firstLine="480" w:firstLineChars="200"/>
        <w:jc w:val="left"/>
        <w:rPr>
          <w:sz w:val="24"/>
          <w:szCs w:val="24"/>
        </w:rPr>
      </w:pPr>
      <w:r>
        <w:rPr>
          <w:sz w:val="24"/>
          <w:szCs w:val="24"/>
        </w:rPr>
        <w:t>14.2</w:t>
      </w:r>
      <w:r>
        <w:rPr>
          <w:rFonts w:hint="eastAsia"/>
          <w:sz w:val="24"/>
          <w:szCs w:val="24"/>
        </w:rPr>
        <w:t>提供投标人有关售后服务的管理制度、售后服务机构的分布情况、售后服务、维护人员的数量、素质、技术水平及售后服务的反应能力。</w:t>
      </w:r>
    </w:p>
    <w:p w14:paraId="5DC6666A">
      <w:pPr>
        <w:adjustRightInd w:val="0"/>
        <w:snapToGrid w:val="0"/>
        <w:spacing w:line="360" w:lineRule="auto"/>
        <w:ind w:firstLine="480" w:firstLineChars="200"/>
        <w:jc w:val="left"/>
        <w:rPr>
          <w:sz w:val="24"/>
          <w:szCs w:val="24"/>
        </w:rPr>
      </w:pPr>
      <w:r>
        <w:rPr>
          <w:sz w:val="24"/>
          <w:szCs w:val="24"/>
        </w:rPr>
        <w:t>15</w:t>
      </w:r>
      <w:r>
        <w:rPr>
          <w:rFonts w:hint="eastAsia"/>
          <w:sz w:val="24"/>
          <w:szCs w:val="24"/>
        </w:rPr>
        <w:t>．投标函和开标一览表</w:t>
      </w:r>
    </w:p>
    <w:p w14:paraId="1F53E087">
      <w:pPr>
        <w:spacing w:line="360" w:lineRule="auto"/>
        <w:ind w:firstLine="480" w:firstLineChars="200"/>
        <w:rPr>
          <w:rFonts w:hint="eastAsia" w:ascii="宋体" w:hAnsi="宋体"/>
          <w:sz w:val="24"/>
          <w:lang w:val="zh-CN"/>
        </w:rPr>
      </w:pPr>
      <w:r>
        <w:rPr>
          <w:rFonts w:hint="eastAsia" w:ascii="宋体" w:hAnsi="宋体"/>
          <w:sz w:val="24"/>
        </w:rPr>
        <w:t>15.1</w:t>
      </w:r>
      <w:r>
        <w:rPr>
          <w:rFonts w:hint="eastAsia" w:ascii="宋体" w:hAnsi="宋体"/>
          <w:sz w:val="24"/>
          <w:lang w:val="zh-CN"/>
        </w:rPr>
        <w:t xml:space="preserve"> 投标人应按照招标文件中提供的格式完整、正确填写投标函、开标一览表。</w:t>
      </w:r>
    </w:p>
    <w:p w14:paraId="6FD963B9">
      <w:pPr>
        <w:spacing w:line="360" w:lineRule="auto"/>
        <w:ind w:firstLine="480" w:firstLineChars="200"/>
        <w:rPr>
          <w:rFonts w:hint="eastAsia" w:ascii="宋体" w:hAnsi="宋体"/>
          <w:sz w:val="24"/>
          <w:lang w:val="zh-CN"/>
        </w:rPr>
      </w:pPr>
      <w:r>
        <w:rPr>
          <w:rFonts w:hint="eastAsia" w:ascii="宋体" w:hAnsi="宋体"/>
          <w:sz w:val="24"/>
        </w:rPr>
        <w:t>15.2</w:t>
      </w:r>
      <w:r>
        <w:rPr>
          <w:rFonts w:hint="eastAsia" w:ascii="宋体" w:hAnsi="宋体"/>
          <w:sz w:val="24"/>
          <w:lang w:val="zh-CN"/>
        </w:rPr>
        <w:t>对于采用货币报价的项目，开标一览表中的投标总报价应与投标分项报价表中的投标总报价一致，如不一致，不作为无效投标处理，但评标时按开标一览表中价格为准。</w:t>
      </w:r>
    </w:p>
    <w:p w14:paraId="01D39165">
      <w:pPr>
        <w:spacing w:line="360" w:lineRule="auto"/>
        <w:ind w:firstLine="480" w:firstLineChars="200"/>
        <w:rPr>
          <w:rFonts w:hint="eastAsia" w:ascii="宋体" w:hAnsi="宋体"/>
          <w:sz w:val="24"/>
          <w:lang w:val="zh-CN"/>
        </w:rPr>
      </w:pPr>
      <w:r>
        <w:rPr>
          <w:rFonts w:hint="eastAsia" w:ascii="宋体" w:hAnsi="宋体"/>
          <w:sz w:val="24"/>
        </w:rPr>
        <w:t>15.3</w:t>
      </w:r>
      <w:r>
        <w:rPr>
          <w:rFonts w:hint="eastAsia" w:ascii="宋体" w:hAnsi="宋体"/>
          <w:sz w:val="24"/>
          <w:lang w:val="zh-CN"/>
        </w:rPr>
        <w:t>开标一览表必须另行单独封装一份在信封中并且在投标截止时间前与投标文件一起递交，否则视为无效投标。开标一览表为在开标仪式上唱标的内容，投标人应按照招标文件提供的格式完整、正确填写开标一览表，不得自行删减内容。</w:t>
      </w:r>
    </w:p>
    <w:p w14:paraId="2C7D736F">
      <w:pPr>
        <w:adjustRightInd w:val="0"/>
        <w:snapToGrid w:val="0"/>
        <w:spacing w:line="360" w:lineRule="auto"/>
        <w:ind w:firstLine="480" w:firstLineChars="200"/>
        <w:jc w:val="left"/>
        <w:rPr>
          <w:sz w:val="24"/>
          <w:szCs w:val="24"/>
        </w:rPr>
      </w:pPr>
      <w:r>
        <w:rPr>
          <w:sz w:val="24"/>
          <w:szCs w:val="24"/>
        </w:rPr>
        <w:t>16</w:t>
      </w:r>
      <w:r>
        <w:rPr>
          <w:rFonts w:hint="eastAsia"/>
          <w:sz w:val="24"/>
          <w:szCs w:val="24"/>
        </w:rPr>
        <w:t>．投标保证金</w:t>
      </w:r>
    </w:p>
    <w:p w14:paraId="63C23574">
      <w:pPr>
        <w:adjustRightInd w:val="0"/>
        <w:snapToGrid w:val="0"/>
        <w:spacing w:line="360" w:lineRule="auto"/>
        <w:ind w:firstLine="480" w:firstLineChars="200"/>
        <w:jc w:val="left"/>
        <w:rPr>
          <w:sz w:val="24"/>
          <w:szCs w:val="24"/>
        </w:rPr>
      </w:pPr>
      <w:r>
        <w:rPr>
          <w:rFonts w:hint="eastAsia"/>
          <w:sz w:val="24"/>
          <w:szCs w:val="24"/>
        </w:rPr>
        <w:t>本项目不收取投标保证金。招标文件中涉及投标保证金的事项，均按免收投标保证金执行。</w:t>
      </w:r>
    </w:p>
    <w:p w14:paraId="2C89829A">
      <w:pPr>
        <w:adjustRightInd w:val="0"/>
        <w:snapToGrid w:val="0"/>
        <w:spacing w:line="360" w:lineRule="auto"/>
        <w:ind w:firstLine="480" w:firstLineChars="200"/>
        <w:jc w:val="left"/>
        <w:rPr>
          <w:sz w:val="24"/>
          <w:szCs w:val="24"/>
        </w:rPr>
      </w:pPr>
      <w:r>
        <w:rPr>
          <w:sz w:val="24"/>
          <w:szCs w:val="24"/>
        </w:rPr>
        <w:t>17</w:t>
      </w:r>
      <w:r>
        <w:rPr>
          <w:rFonts w:hint="eastAsia"/>
          <w:sz w:val="24"/>
          <w:szCs w:val="24"/>
        </w:rPr>
        <w:t>．投标有效期</w:t>
      </w:r>
    </w:p>
    <w:p w14:paraId="32641128">
      <w:pPr>
        <w:adjustRightInd w:val="0"/>
        <w:snapToGrid w:val="0"/>
        <w:spacing w:line="360" w:lineRule="auto"/>
        <w:ind w:firstLine="480" w:firstLineChars="200"/>
        <w:jc w:val="left"/>
        <w:rPr>
          <w:sz w:val="24"/>
          <w:szCs w:val="24"/>
        </w:rPr>
      </w:pPr>
      <w:r>
        <w:rPr>
          <w:sz w:val="24"/>
          <w:szCs w:val="24"/>
        </w:rPr>
        <w:t xml:space="preserve">17.1 </w:t>
      </w:r>
      <w:r>
        <w:rPr>
          <w:rFonts w:hint="eastAsia"/>
          <w:sz w:val="24"/>
          <w:szCs w:val="24"/>
        </w:rPr>
        <w:t>投标有效期为采购人规定的开标之日后</w:t>
      </w:r>
      <w:r>
        <w:rPr>
          <w:rFonts w:hint="eastAsia" w:ascii="宋体" w:hAnsi="宋体" w:cs="宋体"/>
          <w:b/>
          <w:sz w:val="24"/>
          <w:szCs w:val="24"/>
          <w:u w:val="single"/>
        </w:rPr>
        <w:t>六十（60）天</w:t>
      </w:r>
      <w:r>
        <w:rPr>
          <w:rFonts w:hint="eastAsia"/>
          <w:sz w:val="24"/>
          <w:szCs w:val="24"/>
        </w:rPr>
        <w:t>。投标有效期比规定短的将被视为非响应性投标而予以拒绝。</w:t>
      </w:r>
    </w:p>
    <w:p w14:paraId="43F302BF">
      <w:pPr>
        <w:adjustRightInd w:val="0"/>
        <w:snapToGrid w:val="0"/>
        <w:spacing w:line="360" w:lineRule="auto"/>
        <w:ind w:firstLine="480" w:firstLineChars="200"/>
        <w:jc w:val="left"/>
        <w:rPr>
          <w:sz w:val="24"/>
          <w:szCs w:val="24"/>
        </w:rPr>
      </w:pPr>
      <w:r>
        <w:rPr>
          <w:sz w:val="24"/>
          <w:szCs w:val="24"/>
        </w:rPr>
        <w:t xml:space="preserve">17.2 </w:t>
      </w:r>
      <w:r>
        <w:rPr>
          <w:rFonts w:hint="eastAsia"/>
          <w:sz w:val="24"/>
          <w:szCs w:val="24"/>
        </w:rPr>
        <w:t>在特殊情况下，采购人于原投标有效期满之前，可向投标人提出延长投标有效期的要求。这种要求与答复均应采用书面形式。投标人可以拒绝采购人的这一要求而放弃投标，采购人在接到投标人书面答复后，将在原投标有效期满后五日内退还其投标保证金。同意延长投标有效期的投标人既不能要求也不允许修改其投标文件。第</w:t>
      </w:r>
      <w:r>
        <w:rPr>
          <w:sz w:val="24"/>
          <w:szCs w:val="24"/>
        </w:rPr>
        <w:t>16</w:t>
      </w:r>
      <w:r>
        <w:rPr>
          <w:rFonts w:hint="eastAsia"/>
          <w:sz w:val="24"/>
          <w:szCs w:val="24"/>
        </w:rPr>
        <w:t>条有关投标保证金的没收和退还的规定在延长期内继续有效，同时受投标有效期约束的所有权利与义务均延长至新的有效期。</w:t>
      </w:r>
    </w:p>
    <w:p w14:paraId="5CBD43B5">
      <w:pPr>
        <w:adjustRightInd w:val="0"/>
        <w:snapToGrid w:val="0"/>
        <w:spacing w:line="360" w:lineRule="auto"/>
        <w:ind w:firstLine="480" w:firstLineChars="200"/>
        <w:jc w:val="left"/>
        <w:rPr>
          <w:sz w:val="24"/>
          <w:szCs w:val="24"/>
        </w:rPr>
      </w:pPr>
      <w:bookmarkStart w:id="33" w:name="_Toc120614219"/>
      <w:bookmarkStart w:id="34" w:name="_Toc513029235"/>
      <w:bookmarkStart w:id="35" w:name="_Toc335123866"/>
      <w:bookmarkStart w:id="36" w:name="_Toc16938551"/>
      <w:bookmarkStart w:id="37" w:name="_Toc20823307"/>
      <w:r>
        <w:rPr>
          <w:sz w:val="24"/>
          <w:szCs w:val="24"/>
        </w:rPr>
        <w:t>18</w:t>
      </w:r>
      <w:r>
        <w:rPr>
          <w:rFonts w:hint="eastAsia"/>
          <w:sz w:val="24"/>
          <w:szCs w:val="24"/>
        </w:rPr>
        <w:t>．</w:t>
      </w:r>
      <w:r>
        <w:rPr>
          <w:rFonts w:hint="eastAsia" w:ascii="宋体" w:hAnsi="宋体" w:cs="宋体"/>
          <w:bCs/>
          <w:sz w:val="24"/>
          <w:szCs w:val="24"/>
        </w:rPr>
        <w:t>投标文件的递交</w:t>
      </w:r>
    </w:p>
    <w:p w14:paraId="63DB6D4A">
      <w:pPr>
        <w:adjustRightInd w:val="0"/>
        <w:snapToGrid w:val="0"/>
        <w:spacing w:line="360" w:lineRule="auto"/>
        <w:ind w:firstLine="482"/>
        <w:rPr>
          <w:rFonts w:hint="eastAsia" w:ascii="宋体" w:hAnsi="宋体" w:cs="宋体"/>
          <w:bCs/>
          <w:sz w:val="24"/>
          <w:szCs w:val="24"/>
        </w:rPr>
      </w:pPr>
      <w:r>
        <w:rPr>
          <w:rFonts w:hint="eastAsia" w:ascii="宋体" w:hAnsi="宋体" w:cs="宋体"/>
          <w:sz w:val="24"/>
          <w:szCs w:val="24"/>
        </w:rPr>
        <w:t>18.1</w:t>
      </w:r>
      <w:r>
        <w:rPr>
          <w:rFonts w:hint="eastAsia" w:ascii="宋体" w:hAnsi="宋体" w:cs="宋体"/>
          <w:bCs/>
          <w:sz w:val="24"/>
          <w:szCs w:val="24"/>
        </w:rPr>
        <w:t>投标供应商应严格按照招标文件的规定，在投标截止时间前制作并上传电子投标文件。</w:t>
      </w:r>
    </w:p>
    <w:p w14:paraId="73FC975B">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19.投标截止日期</w:t>
      </w:r>
    </w:p>
    <w:p w14:paraId="3C477858">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19.1投标供应商上传电子投标文件的时间不得迟于招标公告中规定的投标截止时间。</w:t>
      </w:r>
    </w:p>
    <w:p w14:paraId="1CE08C3B">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投标人应充分考虑到网络环境、网络带宽等风险因素，如因投标人自身原因造成的电子投标文件上传不成功由投标人自行承担全部责任。</w:t>
      </w:r>
    </w:p>
    <w:p w14:paraId="6D70791D">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19.2</w:t>
      </w:r>
      <w:r>
        <w:rPr>
          <w:rFonts w:hint="eastAsia" w:ascii="宋体" w:hAnsi="宋体" w:cs="宋体"/>
          <w:bCs/>
          <w:sz w:val="24"/>
          <w:szCs w:val="24"/>
        </w:rPr>
        <w:t>招标人可以按照规定，通过修改招标文件酌情延长投标截止日期，在此情况下，投标人的所有权利和义务以及投标人受制的截止日期均应以延长后新的截止日期为准。</w:t>
      </w:r>
    </w:p>
    <w:p w14:paraId="0EE34AE5">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20．投标文件的拒收</w:t>
      </w:r>
    </w:p>
    <w:p w14:paraId="40BCE252">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20.1</w:t>
      </w:r>
      <w:r>
        <w:rPr>
          <w:rFonts w:hint="eastAsia" w:ascii="宋体" w:hAnsi="宋体" w:cs="宋体"/>
          <w:bCs/>
          <w:sz w:val="24"/>
          <w:szCs w:val="24"/>
        </w:rPr>
        <w:t>招标人</w:t>
      </w:r>
      <w:r>
        <w:rPr>
          <w:rFonts w:hint="eastAsia" w:ascii="宋体" w:hAnsi="宋体" w:cs="宋体"/>
          <w:sz w:val="24"/>
          <w:szCs w:val="24"/>
        </w:rPr>
        <w:t>拒绝接收在其规定的投标截止时间后上传的任何投标文件。</w:t>
      </w:r>
    </w:p>
    <w:p w14:paraId="2943474C">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21.投标文件的撤回和修改</w:t>
      </w:r>
    </w:p>
    <w:p w14:paraId="1512EA7B">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20.1 电子投标文件的撤回</w:t>
      </w:r>
    </w:p>
    <w:p w14:paraId="11BA292F">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（1）投标人可在投标截止时间前，撤回其电子投标文件，</w:t>
      </w:r>
      <w:r>
        <w:rPr>
          <w:rFonts w:hint="eastAsia"/>
          <w:sz w:val="24"/>
          <w:szCs w:val="24"/>
        </w:rPr>
        <w:t>具体操作方法见《操作手册（投标人）》</w:t>
      </w:r>
      <w:r>
        <w:rPr>
          <w:rFonts w:hint="eastAsia" w:ascii="宋体" w:hAnsi="宋体" w:cs="宋体"/>
          <w:sz w:val="24"/>
          <w:szCs w:val="24"/>
        </w:rPr>
        <w:t>。</w:t>
      </w:r>
    </w:p>
    <w:p w14:paraId="2DCAA1E7">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（2）投标人撤回电子投标文件，则认为其不再参与本项目投标活动。</w:t>
      </w:r>
    </w:p>
    <w:p w14:paraId="51B1ECBD">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20.2 投标文件的修改</w:t>
      </w:r>
    </w:p>
    <w:p w14:paraId="31D3F5FD">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投标人可在投标截止时间前，对其电子投标文件进行修改，具体操作方法见《操作手册》。</w:t>
      </w:r>
    </w:p>
    <w:p w14:paraId="2B90B0E5">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20.3在投标截止时间之后，投标人不得对其电子投标文件作任何修改。</w:t>
      </w:r>
    </w:p>
    <w:p w14:paraId="68DF0DB1">
      <w:pPr>
        <w:adjustRightInd w:val="0"/>
        <w:snapToGrid w:val="0"/>
        <w:spacing w:line="360" w:lineRule="auto"/>
        <w:ind w:firstLine="482"/>
        <w:rPr>
          <w:rFonts w:hint="eastAsia" w:ascii="宋体" w:hAnsi="宋体" w:cs="宋体"/>
          <w:sz w:val="24"/>
          <w:szCs w:val="24"/>
        </w:rPr>
      </w:pPr>
      <w:r>
        <w:rPr>
          <w:rFonts w:hint="eastAsia" w:ascii="宋体" w:hAnsi="宋体" w:cs="宋体"/>
          <w:sz w:val="24"/>
          <w:szCs w:val="24"/>
        </w:rPr>
        <w:t>20.4在投标截止时间至招标文件中规定的投标有效期满之间的这段时间内，投标人不得撤回其投标。</w:t>
      </w:r>
    </w:p>
    <w:p w14:paraId="501D2A99">
      <w:pPr>
        <w:widowControl/>
        <w:adjustRightInd w:val="0"/>
        <w:snapToGrid w:val="0"/>
        <w:spacing w:line="360" w:lineRule="auto"/>
        <w:ind w:left="-1" w:firstLine="482" w:firstLineChars="200"/>
        <w:jc w:val="left"/>
        <w:outlineLvl w:val="1"/>
        <w:rPr>
          <w:rFonts w:hint="eastAsia" w:ascii="宋体" w:hAnsi="宋体" w:cs="宋体"/>
          <w:b/>
          <w:sz w:val="24"/>
          <w:szCs w:val="24"/>
        </w:rPr>
      </w:pPr>
      <w:bookmarkStart w:id="38" w:name="_Toc16938545"/>
      <w:bookmarkStart w:id="39" w:name="_Toc513029229"/>
      <w:bookmarkStart w:id="40" w:name="_Toc120614218"/>
      <w:bookmarkStart w:id="41" w:name="_Toc335123865"/>
      <w:bookmarkStart w:id="42" w:name="_Toc20823301"/>
      <w:r>
        <w:rPr>
          <w:rFonts w:hint="eastAsia" w:ascii="宋体" w:hAnsi="宋体" w:cs="宋体"/>
          <w:b/>
          <w:sz w:val="24"/>
          <w:szCs w:val="24"/>
        </w:rPr>
        <w:t>五、开标与评标</w:t>
      </w:r>
      <w:bookmarkEnd w:id="38"/>
      <w:bookmarkEnd w:id="39"/>
      <w:bookmarkEnd w:id="40"/>
      <w:bookmarkEnd w:id="41"/>
      <w:bookmarkEnd w:id="42"/>
    </w:p>
    <w:p w14:paraId="09F80D9F">
      <w:pPr>
        <w:keepNext/>
        <w:keepLines/>
        <w:adjustRightInd w:val="0"/>
        <w:snapToGrid w:val="0"/>
        <w:spacing w:line="360" w:lineRule="auto"/>
        <w:ind w:firstLine="482" w:firstLineChars="200"/>
        <w:outlineLvl w:val="3"/>
        <w:rPr>
          <w:rFonts w:hint="eastAsia" w:ascii="宋体" w:hAnsi="宋体" w:cs="宋体"/>
          <w:b/>
          <w:bCs/>
          <w:sz w:val="24"/>
          <w:szCs w:val="24"/>
        </w:rPr>
      </w:pPr>
      <w:bookmarkStart w:id="43" w:name="_Toc16938546"/>
      <w:bookmarkStart w:id="44" w:name="_Toc20823302"/>
      <w:bookmarkStart w:id="45" w:name="_Toc513029230"/>
      <w:r>
        <w:rPr>
          <w:rFonts w:hint="eastAsia" w:ascii="宋体" w:hAnsi="宋体" w:cs="宋体"/>
          <w:b/>
          <w:bCs/>
          <w:sz w:val="24"/>
          <w:szCs w:val="24"/>
        </w:rPr>
        <w:t>21．开标</w:t>
      </w:r>
      <w:bookmarkEnd w:id="43"/>
      <w:bookmarkEnd w:id="44"/>
      <w:bookmarkEnd w:id="45"/>
    </w:p>
    <w:p w14:paraId="0C2F3EAB">
      <w:pPr>
        <w:adjustRightInd w:val="0"/>
        <w:snapToGrid w:val="0"/>
        <w:spacing w:line="360" w:lineRule="auto"/>
        <w:ind w:firstLine="480" w:firstLineChars="200"/>
        <w:rPr>
          <w:sz w:val="24"/>
          <w:szCs w:val="24"/>
        </w:rPr>
      </w:pPr>
      <w:r>
        <w:rPr>
          <w:rFonts w:hint="eastAsia" w:ascii="宋体" w:hAnsi="宋体" w:cs="宋体"/>
          <w:bCs/>
          <w:sz w:val="24"/>
          <w:szCs w:val="24"/>
        </w:rPr>
        <w:t xml:space="preserve">21.1 </w:t>
      </w:r>
      <w:r>
        <w:rPr>
          <w:rFonts w:hint="eastAsia"/>
          <w:sz w:val="24"/>
          <w:szCs w:val="24"/>
        </w:rPr>
        <w:t>交易中心将在招标公告中规定的时间和地点组织公开开标。投标人应当在不见面开标的系统参加开标活动，在规定的时间内对投标文件进行解密。</w:t>
      </w:r>
    </w:p>
    <w:p w14:paraId="0B83D88D">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21.2 </w:t>
      </w:r>
      <w:r>
        <w:rPr>
          <w:rFonts w:hint="eastAsia"/>
          <w:sz w:val="24"/>
          <w:szCs w:val="24"/>
        </w:rPr>
        <w:t>开标仪式由招标代理机构组织，在不见面开标的系统中进行开标，分阶段进行，经济标开标时公布各投标人的《开标一览表》。</w:t>
      </w:r>
    </w:p>
    <w:p w14:paraId="5C175610">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 xml:space="preserve">21.3 </w:t>
      </w:r>
      <w:r>
        <w:rPr>
          <w:rFonts w:hint="eastAsia"/>
          <w:sz w:val="24"/>
          <w:szCs w:val="24"/>
        </w:rPr>
        <w:t>投标人在开标过程中涉及到的投标文件解密、开标结果确认等工作，按照《操作手册（投标人）》执行</w:t>
      </w:r>
      <w:r>
        <w:rPr>
          <w:rFonts w:hint="eastAsia" w:ascii="宋体" w:hAnsi="宋体" w:cs="宋体"/>
          <w:bCs/>
          <w:sz w:val="24"/>
          <w:szCs w:val="24"/>
        </w:rPr>
        <w:t>。</w:t>
      </w:r>
    </w:p>
    <w:p w14:paraId="064D908A">
      <w:pPr>
        <w:keepNext/>
        <w:keepLines/>
        <w:adjustRightInd w:val="0"/>
        <w:snapToGrid w:val="0"/>
        <w:spacing w:line="360" w:lineRule="auto"/>
        <w:ind w:firstLine="482" w:firstLineChars="200"/>
        <w:outlineLvl w:val="3"/>
        <w:rPr>
          <w:rFonts w:hint="eastAsia" w:ascii="宋体" w:hAnsi="宋体" w:cs="宋体"/>
          <w:sz w:val="24"/>
          <w:szCs w:val="24"/>
        </w:rPr>
      </w:pPr>
      <w:r>
        <w:rPr>
          <w:rFonts w:hint="eastAsia" w:ascii="宋体" w:hAnsi="宋体" w:cs="宋体"/>
          <w:b/>
          <w:bCs/>
          <w:sz w:val="24"/>
          <w:szCs w:val="24"/>
        </w:rPr>
        <w:t>22．评标委员会</w:t>
      </w:r>
    </w:p>
    <w:p w14:paraId="68AEA0BF">
      <w:pPr>
        <w:adjustRightInd w:val="0"/>
        <w:snapToGrid w:val="0"/>
        <w:spacing w:line="360" w:lineRule="auto"/>
        <w:ind w:firstLine="480" w:firstLineChars="200"/>
        <w:rPr>
          <w:sz w:val="24"/>
          <w:szCs w:val="24"/>
        </w:rPr>
      </w:pPr>
      <w:r>
        <w:rPr>
          <w:rFonts w:hint="eastAsia"/>
          <w:sz w:val="24"/>
          <w:szCs w:val="24"/>
        </w:rPr>
        <w:t>22.1开标后，招标代理机构将立即组织评标委员会（以下简称评委会）进行评标。</w:t>
      </w:r>
    </w:p>
    <w:p w14:paraId="0E59BC72">
      <w:pPr>
        <w:adjustRightInd w:val="0"/>
        <w:snapToGrid w:val="0"/>
        <w:spacing w:line="360" w:lineRule="auto"/>
        <w:ind w:firstLine="480" w:firstLineChars="200"/>
        <w:rPr>
          <w:sz w:val="24"/>
          <w:szCs w:val="24"/>
        </w:rPr>
      </w:pPr>
      <w:r>
        <w:rPr>
          <w:rFonts w:hint="eastAsia"/>
          <w:sz w:val="24"/>
          <w:szCs w:val="24"/>
        </w:rPr>
        <w:t>22.2 评委会由招标人代表和有关技术、经济等方面的专家组成，且人员构成符合采购有关规定。</w:t>
      </w:r>
    </w:p>
    <w:p w14:paraId="239F1AF6">
      <w:pPr>
        <w:adjustRightInd w:val="0"/>
        <w:snapToGrid w:val="0"/>
        <w:spacing w:line="360" w:lineRule="auto"/>
        <w:ind w:firstLine="480" w:firstLineChars="200"/>
        <w:rPr>
          <w:sz w:val="24"/>
          <w:szCs w:val="24"/>
        </w:rPr>
      </w:pPr>
      <w:r>
        <w:rPr>
          <w:rFonts w:hint="eastAsia"/>
          <w:sz w:val="24"/>
          <w:szCs w:val="24"/>
        </w:rPr>
        <w:t>22.3评委会独立工作，负责评审所有投标文件并确定中标侯选人。</w:t>
      </w:r>
    </w:p>
    <w:p w14:paraId="29DA1607">
      <w:pPr>
        <w:keepNext/>
        <w:keepLines/>
        <w:adjustRightInd w:val="0"/>
        <w:snapToGrid w:val="0"/>
        <w:spacing w:line="360" w:lineRule="auto"/>
        <w:ind w:firstLine="482" w:firstLineChars="200"/>
        <w:outlineLvl w:val="3"/>
        <w:rPr>
          <w:rFonts w:hint="eastAsia" w:ascii="宋体" w:hAnsi="宋体" w:cs="宋体"/>
          <w:b/>
          <w:bCs/>
          <w:sz w:val="24"/>
          <w:szCs w:val="24"/>
        </w:rPr>
      </w:pPr>
      <w:r>
        <w:rPr>
          <w:rFonts w:hint="eastAsia" w:ascii="宋体" w:hAnsi="宋体" w:cs="宋体"/>
          <w:b/>
          <w:bCs/>
          <w:sz w:val="24"/>
          <w:szCs w:val="24"/>
        </w:rPr>
        <w:t>23．评标过程的保密与公正</w:t>
      </w:r>
    </w:p>
    <w:p w14:paraId="2E8BC909">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23.1公开开标后，直至向中标的投标人授予合同时止，凡是与审查、澄清、评价和比较投标的有关资料以及授标建议等，均不得向投标人或与评标无关的其他人员透露。</w:t>
      </w:r>
    </w:p>
    <w:p w14:paraId="43AC247A">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23.2</w:t>
      </w:r>
      <w:r>
        <w:rPr>
          <w:rFonts w:hint="eastAsia"/>
          <w:sz w:val="24"/>
          <w:szCs w:val="24"/>
        </w:rPr>
        <w:t>在评标过程中，投标人不得以任何行为影响评标过程，否则其投标文件将被作为无效投标文件</w:t>
      </w:r>
      <w:r>
        <w:rPr>
          <w:rFonts w:hint="eastAsia" w:ascii="宋体" w:hAnsi="宋体" w:cs="宋体"/>
          <w:sz w:val="24"/>
          <w:szCs w:val="24"/>
        </w:rPr>
        <w:t>。</w:t>
      </w:r>
    </w:p>
    <w:p w14:paraId="3E003DBA">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23.3在评标期间，招标代理机构将设专门人员与投标人联系。</w:t>
      </w:r>
    </w:p>
    <w:p w14:paraId="2A4CE782">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23.4招标代理机构和评标委员会不向未中标的投标人解释未中标原因，也不公布评标过程中的相关细节。</w:t>
      </w:r>
    </w:p>
    <w:p w14:paraId="635A1F05">
      <w:pPr>
        <w:adjustRightInd w:val="0"/>
        <w:snapToGrid w:val="0"/>
        <w:spacing w:line="360" w:lineRule="auto"/>
        <w:ind w:firstLine="480" w:firstLineChars="200"/>
        <w:rPr>
          <w:rFonts w:hint="eastAsia" w:ascii="宋体" w:hAnsi="宋体" w:cs="宋体"/>
          <w:b/>
          <w:sz w:val="24"/>
          <w:szCs w:val="24"/>
        </w:rPr>
      </w:pPr>
      <w:r>
        <w:rPr>
          <w:rFonts w:hint="eastAsia" w:ascii="宋体" w:hAnsi="宋体" w:cs="宋体"/>
          <w:bCs/>
          <w:sz w:val="24"/>
          <w:szCs w:val="24"/>
        </w:rPr>
        <w:t>23.4</w:t>
      </w:r>
      <w:r>
        <w:rPr>
          <w:rFonts w:hint="eastAsia"/>
          <w:bCs/>
          <w:sz w:val="24"/>
          <w:szCs w:val="24"/>
        </w:rPr>
        <w:t>采用综合评分法的项目，公布评标结果时一并在“不见面开标的系统”中公布所有投标人的评审得分及排序情况</w:t>
      </w:r>
      <w:r>
        <w:rPr>
          <w:rFonts w:hint="eastAsia" w:ascii="宋体" w:hAnsi="宋体" w:cs="宋体"/>
          <w:bCs/>
          <w:sz w:val="24"/>
          <w:szCs w:val="24"/>
        </w:rPr>
        <w:t>。</w:t>
      </w:r>
    </w:p>
    <w:p w14:paraId="1364F6E2">
      <w:pPr>
        <w:keepNext/>
        <w:keepLines/>
        <w:adjustRightInd w:val="0"/>
        <w:snapToGrid w:val="0"/>
        <w:spacing w:line="360" w:lineRule="auto"/>
        <w:ind w:firstLine="482" w:firstLineChars="200"/>
        <w:outlineLvl w:val="3"/>
        <w:rPr>
          <w:rFonts w:hint="eastAsia" w:ascii="宋体" w:hAnsi="宋体" w:cs="宋体"/>
          <w:sz w:val="24"/>
          <w:szCs w:val="24"/>
        </w:rPr>
      </w:pPr>
      <w:bookmarkStart w:id="46" w:name="_Toc20823304"/>
      <w:bookmarkStart w:id="47" w:name="_Toc16938548"/>
      <w:bookmarkStart w:id="48" w:name="_Toc513029232"/>
      <w:r>
        <w:rPr>
          <w:rFonts w:hint="eastAsia" w:ascii="宋体" w:hAnsi="宋体" w:cs="宋体"/>
          <w:b/>
          <w:bCs/>
          <w:sz w:val="24"/>
          <w:szCs w:val="24"/>
        </w:rPr>
        <w:t>24．投标的澄清</w:t>
      </w:r>
      <w:bookmarkEnd w:id="46"/>
      <w:bookmarkEnd w:id="47"/>
      <w:bookmarkEnd w:id="48"/>
    </w:p>
    <w:p w14:paraId="235FFD71">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24.1</w:t>
      </w:r>
      <w:r>
        <w:rPr>
          <w:rFonts w:hint="eastAsia"/>
          <w:sz w:val="24"/>
          <w:szCs w:val="24"/>
        </w:rPr>
        <w:t>评标期间，为有助于对投标文件的审查、评价和比较，评委会有权以电子函件形式要求投标人对其投标文件进行澄清，但并非对每个投标人都作澄清要求</w:t>
      </w:r>
      <w:r>
        <w:rPr>
          <w:rFonts w:hint="eastAsia" w:ascii="宋体" w:hAnsi="宋体" w:cs="宋体"/>
          <w:sz w:val="24"/>
          <w:szCs w:val="24"/>
        </w:rPr>
        <w:t>。</w:t>
      </w:r>
    </w:p>
    <w:p w14:paraId="348A9A83">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24.2</w:t>
      </w:r>
      <w:r>
        <w:rPr>
          <w:rFonts w:hint="eastAsia"/>
          <w:sz w:val="24"/>
          <w:szCs w:val="24"/>
        </w:rPr>
        <w:t>接到评委会澄清要求的投标人应派人按评委会规定的时间和格式做出澄清，澄清的内容作为投标文件的补充部分，但投标的价格和实质性的内容不得做任何更改</w:t>
      </w:r>
      <w:r>
        <w:rPr>
          <w:rFonts w:hint="eastAsia" w:ascii="宋体" w:hAnsi="宋体" w:cs="宋体"/>
          <w:sz w:val="24"/>
          <w:szCs w:val="24"/>
        </w:rPr>
        <w:t>。</w:t>
      </w:r>
    </w:p>
    <w:p w14:paraId="445671DA">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24.3接到评委会澄清要求的投标人如未按规定做出澄清，将视为放弃该权利，其风险由投标人自行承担。</w:t>
      </w:r>
    </w:p>
    <w:p w14:paraId="435A7F01">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24.4评委会不接受投标主动提出的澄清。</w:t>
      </w:r>
    </w:p>
    <w:p w14:paraId="01C715CB">
      <w:pPr>
        <w:keepNext/>
        <w:keepLines/>
        <w:adjustRightInd w:val="0"/>
        <w:snapToGrid w:val="0"/>
        <w:spacing w:line="360" w:lineRule="auto"/>
        <w:ind w:firstLine="482" w:firstLineChars="200"/>
        <w:outlineLvl w:val="3"/>
        <w:rPr>
          <w:rFonts w:hint="eastAsia" w:ascii="宋体" w:hAnsi="宋体" w:cs="宋体"/>
          <w:b/>
          <w:bCs/>
          <w:sz w:val="24"/>
          <w:szCs w:val="24"/>
        </w:rPr>
      </w:pPr>
      <w:bookmarkStart w:id="49" w:name="_Toc20823305"/>
      <w:bookmarkStart w:id="50" w:name="_Toc16938549"/>
      <w:bookmarkStart w:id="51" w:name="_Toc513029233"/>
      <w:r>
        <w:rPr>
          <w:rFonts w:hint="eastAsia" w:ascii="宋体" w:hAnsi="宋体" w:cs="宋体"/>
          <w:b/>
          <w:bCs/>
          <w:sz w:val="24"/>
          <w:szCs w:val="24"/>
        </w:rPr>
        <w:t>25．对投标文件的初审</w:t>
      </w:r>
      <w:bookmarkEnd w:id="49"/>
      <w:bookmarkEnd w:id="50"/>
      <w:bookmarkEnd w:id="51"/>
    </w:p>
    <w:p w14:paraId="4D9BCAB6">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25.1投标文件初审分为资格性检查和符合性检查。</w:t>
      </w:r>
    </w:p>
    <w:p w14:paraId="6CBC8A46">
      <w:pPr>
        <w:adjustRightInd w:val="0"/>
        <w:snapToGrid w:val="0"/>
        <w:spacing w:line="360" w:lineRule="auto"/>
        <w:ind w:firstLine="480" w:firstLineChars="200"/>
        <w:rPr>
          <w:rFonts w:hint="eastAsia" w:ascii="宋体" w:hAnsi="宋体" w:cs="宋体"/>
          <w:b/>
          <w:sz w:val="24"/>
          <w:szCs w:val="24"/>
        </w:rPr>
      </w:pPr>
      <w:r>
        <w:rPr>
          <w:rFonts w:hint="eastAsia" w:ascii="宋体" w:hAnsi="宋体" w:cs="宋体"/>
          <w:sz w:val="24"/>
          <w:szCs w:val="24"/>
        </w:rPr>
        <w:t>资格性检查：</w:t>
      </w:r>
      <w:r>
        <w:rPr>
          <w:rFonts w:hint="eastAsia" w:ascii="宋体" w:hAnsi="宋体" w:cs="宋体"/>
          <w:b/>
          <w:sz w:val="24"/>
          <w:szCs w:val="24"/>
        </w:rPr>
        <w:t>依据法律法规和招标文件的规定，由招标人对投标文件中的资格证明文件进行审查。资格审查的结论，招标人以书面形式向评委会进行反馈。</w:t>
      </w:r>
    </w:p>
    <w:p w14:paraId="18118E54">
      <w:pPr>
        <w:adjustRightInd w:val="0"/>
        <w:snapToGrid w:val="0"/>
        <w:spacing w:line="360" w:lineRule="auto"/>
        <w:ind w:firstLine="482" w:firstLineChars="200"/>
        <w:jc w:val="left"/>
      </w:pPr>
      <w:r>
        <w:rPr>
          <w:rFonts w:hint="eastAsia"/>
          <w:b/>
          <w:sz w:val="24"/>
          <w:szCs w:val="24"/>
        </w:rPr>
        <w:t>评委会在进行资格性审查的同时，将在“信用中国”网站（www.creditchina.gov.cn）对供应商是否被列入失信被执行人、重大税收违法案件当事人名单、政府采购严重失信行为记录名单情况进行查询，以确定供应商是否具备参加评审的资格。查询结果将以网页打印的形式留存并归档。</w:t>
      </w:r>
    </w:p>
    <w:p w14:paraId="748DD965">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接受联合体的项目，两个以上的自然人、法人或者其他组织组成一个联合体，以一个供应商的身份共同参加政府采购活动的,联合体成员中任何一方存在不良信用记录的，视同联合体存在不良信用记录。</w:t>
      </w:r>
    </w:p>
    <w:p w14:paraId="00D9F055">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符合性检查：依据招标文件的规定，</w:t>
      </w:r>
      <w:r>
        <w:rPr>
          <w:rFonts w:hint="eastAsia"/>
          <w:sz w:val="24"/>
          <w:szCs w:val="24"/>
        </w:rPr>
        <w:t>由评委会从投标文件的有效性、完整性和对招标文件的响应程度进行审查，以确定是否对招标文件的实质性要求作出响应</w:t>
      </w:r>
      <w:r>
        <w:rPr>
          <w:rFonts w:hint="eastAsia" w:ascii="宋体" w:hAnsi="宋体" w:cs="宋体"/>
          <w:sz w:val="24"/>
          <w:szCs w:val="24"/>
        </w:rPr>
        <w:t>。</w:t>
      </w:r>
    </w:p>
    <w:p w14:paraId="43E58B13">
      <w:pPr>
        <w:adjustRightInd w:val="0"/>
        <w:snapToGrid w:val="0"/>
        <w:spacing w:line="360" w:lineRule="auto"/>
        <w:ind w:firstLine="480" w:firstLineChars="200"/>
        <w:rPr>
          <w:sz w:val="24"/>
          <w:szCs w:val="24"/>
        </w:rPr>
      </w:pPr>
      <w:r>
        <w:rPr>
          <w:rFonts w:hint="eastAsia" w:ascii="宋体" w:hAnsi="宋体" w:cs="宋体"/>
          <w:sz w:val="24"/>
          <w:szCs w:val="24"/>
        </w:rPr>
        <w:t>25.2</w:t>
      </w:r>
      <w:r>
        <w:rPr>
          <w:rFonts w:hint="eastAsia"/>
          <w:sz w:val="24"/>
          <w:szCs w:val="24"/>
        </w:rPr>
        <w:t>未通过资格审查或符合性审查的投标人，招标代理机构将告知未通过资格审查或符合性审查的原因，评审结束后，招标代理机构将不再告知未通过资格审查或符合性审查的原因。</w:t>
      </w:r>
    </w:p>
    <w:p w14:paraId="58153976">
      <w:pPr>
        <w:adjustRightInd w:val="0"/>
        <w:snapToGrid w:val="0"/>
        <w:spacing w:line="360" w:lineRule="auto"/>
        <w:ind w:firstLine="480" w:firstLineChars="200"/>
        <w:rPr>
          <w:rFonts w:hint="eastAsia" w:ascii="宋体" w:hAnsi="宋体" w:cs="宋体"/>
          <w:sz w:val="24"/>
          <w:szCs w:val="24"/>
        </w:rPr>
      </w:pPr>
      <w:r>
        <w:rPr>
          <w:rFonts w:hint="eastAsia"/>
          <w:sz w:val="24"/>
          <w:szCs w:val="24"/>
        </w:rPr>
        <w:t>25.3在详细评标之前，评委会将首先审查每份投标文件是否实质性响应了招标文件的要求。实质性响应的投标应该是与招标文件要求的全部条款、条件和规格相符，没有重大偏离或保留的投标。</w:t>
      </w:r>
    </w:p>
    <w:p w14:paraId="414A35D7">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所谓重大偏离或保留是指与招标文件规定的实质性要求存在负偏离，或者在实质上与招标文件不一致，而且限制了合同中招标人的权利或投标人的义务，纠正这些偏离或保留将会对其他实质性响应要求的投标人的竞争地位产生不公正的影响。重大偏离的认定需经过多数评委会成员的认定。评委决定投标文件的响应性只根据投标文件本身的内容，而不寻求外部的证据。</w:t>
      </w:r>
    </w:p>
    <w:p w14:paraId="57004801">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25.4</w:t>
      </w:r>
      <w:r>
        <w:rPr>
          <w:rFonts w:hint="eastAsia" w:ascii="宋体" w:hAnsi="宋体" w:cs="宋体"/>
          <w:bCs/>
          <w:sz w:val="24"/>
          <w:szCs w:val="24"/>
        </w:rPr>
        <w:t>如果投标文件实质上没有响应招标文件的要求，评委会将予以拒绝，投标人不得通过修改或撤销不合要求的偏离或保留而使其投标成为实质性响应的投标。</w:t>
      </w:r>
    </w:p>
    <w:p w14:paraId="40D73278">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25.5评委会将对确定为实质性响应的投标进行进一步审核，看其是否有计算上或累加上的算术错误，若出现相互矛盾之处，应以排列在先的原则为准优先处理：</w:t>
      </w:r>
    </w:p>
    <w:p w14:paraId="1AB7F2D9">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（1）投标文件中开标一览表内容与投标文件中相应内容不一致的，以开标一览表为准。</w:t>
      </w:r>
    </w:p>
    <w:p w14:paraId="1DEC2CBA">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（2）大写金额和小写金额不一致的，以大写金额为准。</w:t>
      </w:r>
    </w:p>
    <w:p w14:paraId="087C9066">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（3）单价金额小数点或者百分比有明显错位的，以开标一览表的总价为准，并修改单价。</w:t>
      </w:r>
    </w:p>
    <w:p w14:paraId="2DBC4EB4">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（4）总价金额与按单价汇总金额不一致的，以单价金额计算结果为准。</w:t>
      </w:r>
    </w:p>
    <w:p w14:paraId="2C242B54">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同时出现两种以上错误的，按照前款规定的顺序修正。</w:t>
      </w:r>
    </w:p>
    <w:p w14:paraId="029F0A7D">
      <w:pPr>
        <w:adjustRightInd w:val="0"/>
        <w:snapToGrid w:val="0"/>
        <w:spacing w:line="360" w:lineRule="auto"/>
        <w:ind w:firstLine="480" w:firstLineChars="200"/>
        <w:jc w:val="left"/>
        <w:rPr>
          <w:sz w:val="24"/>
          <w:szCs w:val="24"/>
        </w:rPr>
      </w:pPr>
      <w:r>
        <w:rPr>
          <w:rFonts w:hint="eastAsia" w:ascii="宋体" w:hAnsi="宋体" w:cs="宋体"/>
          <w:sz w:val="24"/>
          <w:szCs w:val="24"/>
        </w:rPr>
        <w:t>25.6</w:t>
      </w:r>
      <w:r>
        <w:rPr>
          <w:rFonts w:hint="eastAsia"/>
          <w:sz w:val="24"/>
          <w:szCs w:val="24"/>
        </w:rPr>
        <w:t>评委会将按上述修正错误的方法调整投标文件中的投标报价，并告知投标人，调整后的价格应对投标人具有约束力。如果投标人不接受修正后的价格，则其投标将被拒绝。</w:t>
      </w:r>
    </w:p>
    <w:p w14:paraId="2A621023">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25.7评委会将允许修正投标文件中不构成重大偏离的、微小的、非正规的、不一致的或不规则的地方，但这些修改不能影响任何投标人相应的名次排列。</w:t>
      </w:r>
    </w:p>
    <w:p w14:paraId="0F11E770">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25.8采用最低评标价法的招标项目，提供的投标产品（服务）全部为相同品牌产品的不同投标人参加同一合同项下投标的，以其中通过资格审查、符合性审查且投标最低的参加评标；报价相同的，由评标委员会按照招标文件规定的方式（招标文件未规定的通过随机抽取的方式）确定一个参加评标的投标人，其他投标无效。</w:t>
      </w:r>
    </w:p>
    <w:p w14:paraId="3CE85A33">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采用综合评分法的招标项目，提供的投标产品（服务）全部为相同品牌产品且通过资格审查、符合性审查的不同投标人参加同一合同项下投标的，按一家投标人计算，评审后得分最高的投标人获得中标人推荐资格；评审得分相同的，由评标委员会根据招标文件规定的方式（招标文件未规定的采取随机抽取的方式）确定一个中标候选人，其他投标产品全部为相同品牌投标人不作为中标候选人。</w:t>
      </w:r>
    </w:p>
    <w:p w14:paraId="38D93E4E">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非单一产品采购项目，招标文件中将载明其中的核心产品。多家投标人提供的核心产品品牌相同的，按前两款规定处理。</w:t>
      </w:r>
    </w:p>
    <w:p w14:paraId="0137FFC5">
      <w:pPr>
        <w:adjustRightInd w:val="0"/>
        <w:snapToGrid w:val="0"/>
        <w:spacing w:line="360" w:lineRule="auto"/>
        <w:ind w:firstLine="420"/>
        <w:rPr>
          <w:rFonts w:hint="eastAsia" w:ascii="宋体" w:hAnsi="宋体" w:cs="宋体"/>
          <w:sz w:val="24"/>
          <w:szCs w:val="24"/>
        </w:rPr>
      </w:pPr>
      <w:r>
        <w:rPr>
          <w:rFonts w:hint="eastAsia" w:ascii="宋体" w:hAnsi="宋体" w:cs="宋体"/>
          <w:bCs/>
          <w:sz w:val="24"/>
          <w:szCs w:val="24"/>
        </w:rPr>
        <w:t>25.9</w:t>
      </w:r>
      <w:r>
        <w:rPr>
          <w:rFonts w:hint="eastAsia" w:ascii="宋体" w:hAnsi="宋体" w:cs="宋体"/>
          <w:sz w:val="24"/>
          <w:szCs w:val="24"/>
        </w:rPr>
        <w:t xml:space="preserve"> 投标人在开、评标全过程中应保持通讯畅通，并安排专人与招标代理机构及评标委员会联系。</w:t>
      </w:r>
    </w:p>
    <w:p w14:paraId="5C5BDC57">
      <w:pPr>
        <w:keepNext/>
        <w:keepLines/>
        <w:adjustRightInd w:val="0"/>
        <w:snapToGrid w:val="0"/>
        <w:spacing w:line="360" w:lineRule="auto"/>
        <w:ind w:firstLine="482" w:firstLineChars="200"/>
        <w:outlineLvl w:val="3"/>
        <w:rPr>
          <w:rFonts w:hint="eastAsia" w:ascii="宋体" w:hAnsi="宋体" w:cs="宋体"/>
          <w:b/>
          <w:bCs/>
          <w:sz w:val="24"/>
          <w:szCs w:val="24"/>
        </w:rPr>
      </w:pPr>
      <w:bookmarkStart w:id="52" w:name="_Toc513029234"/>
      <w:bookmarkStart w:id="53" w:name="_Toc16938550"/>
      <w:bookmarkStart w:id="54" w:name="_Toc20823306"/>
      <w:r>
        <w:rPr>
          <w:rFonts w:hint="eastAsia" w:ascii="宋体" w:hAnsi="宋体" w:cs="宋体"/>
          <w:b/>
          <w:bCs/>
          <w:sz w:val="24"/>
          <w:szCs w:val="24"/>
        </w:rPr>
        <w:t>2</w:t>
      </w:r>
      <w:bookmarkEnd w:id="52"/>
      <w:bookmarkEnd w:id="53"/>
      <w:bookmarkEnd w:id="54"/>
      <w:r>
        <w:rPr>
          <w:rFonts w:hint="eastAsia" w:ascii="宋体" w:hAnsi="宋体" w:cs="宋体"/>
          <w:b/>
          <w:bCs/>
          <w:sz w:val="24"/>
          <w:szCs w:val="24"/>
        </w:rPr>
        <w:t>8．无效投标条款和废标条款</w:t>
      </w:r>
    </w:p>
    <w:p w14:paraId="4B20E327">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bCs/>
          <w:sz w:val="24"/>
          <w:szCs w:val="24"/>
        </w:rPr>
        <w:t>2</w:t>
      </w:r>
      <w:r>
        <w:rPr>
          <w:rFonts w:hint="eastAsia" w:ascii="宋体" w:hAnsi="宋体" w:cs="宋体"/>
          <w:sz w:val="24"/>
          <w:szCs w:val="24"/>
        </w:rPr>
        <w:t>8.1无效投标条款</w:t>
      </w:r>
    </w:p>
    <w:p w14:paraId="47B72389">
      <w:pPr>
        <w:adjustRightInd w:val="0"/>
        <w:snapToGrid w:val="0"/>
        <w:spacing w:line="360" w:lineRule="auto"/>
        <w:ind w:firstLine="482" w:firstLineChars="200"/>
        <w:jc w:val="left"/>
        <w:rPr>
          <w:b/>
          <w:bCs/>
          <w:sz w:val="24"/>
          <w:szCs w:val="24"/>
        </w:rPr>
      </w:pPr>
      <w:r>
        <w:rPr>
          <w:rFonts w:hint="eastAsia"/>
          <w:b/>
          <w:bCs/>
          <w:sz w:val="24"/>
          <w:szCs w:val="24"/>
        </w:rPr>
        <w:t>（1）投标人在”不见面开标系统”规定的时间内未成功解密电子投标文件的。</w:t>
      </w:r>
    </w:p>
    <w:p w14:paraId="57DB2CD7">
      <w:pPr>
        <w:adjustRightInd w:val="0"/>
        <w:snapToGrid w:val="0"/>
        <w:spacing w:line="360" w:lineRule="auto"/>
        <w:ind w:firstLine="482" w:firstLineChars="200"/>
        <w:jc w:val="left"/>
        <w:rPr>
          <w:b/>
          <w:bCs/>
          <w:sz w:val="24"/>
          <w:szCs w:val="24"/>
        </w:rPr>
      </w:pPr>
      <w:r>
        <w:rPr>
          <w:rFonts w:hint="eastAsia"/>
          <w:b/>
          <w:bCs/>
          <w:sz w:val="24"/>
          <w:szCs w:val="24"/>
        </w:rPr>
        <w:t>（2）投标人未按照招标文件要求上传电子投标文件的。</w:t>
      </w:r>
    </w:p>
    <w:p w14:paraId="0E54076E">
      <w:pPr>
        <w:adjustRightInd w:val="0"/>
        <w:snapToGrid w:val="0"/>
        <w:spacing w:line="360" w:lineRule="auto"/>
        <w:ind w:firstLine="482" w:firstLineChars="200"/>
        <w:jc w:val="left"/>
        <w:rPr>
          <w:b/>
          <w:bCs/>
          <w:sz w:val="24"/>
          <w:szCs w:val="24"/>
        </w:rPr>
      </w:pPr>
      <w:r>
        <w:rPr>
          <w:rFonts w:hint="eastAsia"/>
          <w:b/>
          <w:bCs/>
          <w:sz w:val="24"/>
          <w:szCs w:val="24"/>
        </w:rPr>
        <w:t>（3）未按照招标文件规定要求签署、盖章的；投标文件未按规定的格式、内容和要求编制填写、投标文件字迹潦草、模糊、无法辩认的；</w:t>
      </w:r>
    </w:p>
    <w:p w14:paraId="48ADB9D6">
      <w:pPr>
        <w:adjustRightInd w:val="0"/>
        <w:snapToGrid w:val="0"/>
        <w:spacing w:line="360" w:lineRule="auto"/>
        <w:ind w:firstLine="482" w:firstLineChars="200"/>
        <w:jc w:val="left"/>
        <w:rPr>
          <w:rFonts w:hint="eastAsia" w:ascii="宋体" w:hAnsi="宋体" w:cs="宋体"/>
          <w:b/>
          <w:bCs/>
          <w:sz w:val="24"/>
          <w:szCs w:val="24"/>
        </w:rPr>
      </w:pPr>
      <w:r>
        <w:rPr>
          <w:rFonts w:hint="eastAsia"/>
          <w:b/>
          <w:bCs/>
          <w:sz w:val="24"/>
          <w:szCs w:val="24"/>
        </w:rPr>
        <w:t>（4）同一投标人提交两个（含两个）以上不同的投标报价的。</w:t>
      </w:r>
    </w:p>
    <w:p w14:paraId="4BBF2D65">
      <w:pPr>
        <w:adjustRightInd w:val="0"/>
        <w:snapToGrid w:val="0"/>
        <w:spacing w:line="360" w:lineRule="auto"/>
        <w:ind w:firstLine="482" w:firstLineChars="200"/>
        <w:jc w:val="left"/>
        <w:rPr>
          <w:b/>
          <w:bCs/>
          <w:sz w:val="24"/>
          <w:szCs w:val="24"/>
        </w:rPr>
      </w:pPr>
      <w:r>
        <w:rPr>
          <w:rFonts w:hint="eastAsia"/>
          <w:b/>
          <w:bCs/>
          <w:sz w:val="24"/>
          <w:szCs w:val="24"/>
        </w:rPr>
        <w:t>（5）投标报价超过采购预算金额的；</w:t>
      </w:r>
    </w:p>
    <w:p w14:paraId="003D4FB1">
      <w:pPr>
        <w:adjustRightInd w:val="0"/>
        <w:snapToGrid w:val="0"/>
        <w:spacing w:line="360" w:lineRule="auto"/>
        <w:ind w:firstLine="482" w:firstLineChars="200"/>
        <w:jc w:val="left"/>
        <w:rPr>
          <w:b/>
          <w:bCs/>
          <w:sz w:val="24"/>
          <w:szCs w:val="24"/>
        </w:rPr>
      </w:pPr>
      <w:r>
        <w:rPr>
          <w:rFonts w:hint="eastAsia"/>
          <w:b/>
          <w:bCs/>
          <w:sz w:val="24"/>
          <w:szCs w:val="24"/>
        </w:rPr>
        <w:t>（6）未通过符合性检查的。</w:t>
      </w:r>
    </w:p>
    <w:p w14:paraId="4B26DE2A">
      <w:pPr>
        <w:adjustRightInd w:val="0"/>
        <w:snapToGrid w:val="0"/>
        <w:spacing w:line="360" w:lineRule="auto"/>
        <w:ind w:firstLine="482" w:firstLineChars="200"/>
        <w:jc w:val="left"/>
        <w:rPr>
          <w:b/>
          <w:bCs/>
          <w:sz w:val="24"/>
          <w:szCs w:val="24"/>
        </w:rPr>
      </w:pPr>
      <w:r>
        <w:rPr>
          <w:rFonts w:hint="eastAsia"/>
          <w:b/>
          <w:bCs/>
          <w:sz w:val="24"/>
          <w:szCs w:val="24"/>
        </w:rPr>
        <w:t>（7）投标文件含有采购人不能接受的附加条件的。</w:t>
      </w:r>
    </w:p>
    <w:p w14:paraId="2D25D930">
      <w:pPr>
        <w:adjustRightInd w:val="0"/>
        <w:snapToGrid w:val="0"/>
        <w:spacing w:line="360" w:lineRule="auto"/>
        <w:ind w:firstLine="482" w:firstLineChars="200"/>
        <w:jc w:val="left"/>
        <w:rPr>
          <w:b/>
          <w:bCs/>
          <w:sz w:val="24"/>
          <w:szCs w:val="24"/>
        </w:rPr>
      </w:pPr>
      <w:r>
        <w:rPr>
          <w:rFonts w:hint="eastAsia"/>
          <w:b/>
          <w:bCs/>
          <w:sz w:val="24"/>
          <w:szCs w:val="24"/>
        </w:rPr>
        <w:t>（8）评标委员会认为投标人的报价明显低于其他通过符合性审查投标人的报价，有可能影响产品质量或者不能诚信履约的，将按照要求其在合理的时间内提供说明，必要时提交相关证明材料；投标人不能证明其报价合理性的，评标委员会应当将其作为无效投标处理。</w:t>
      </w:r>
    </w:p>
    <w:p w14:paraId="2009C5D4">
      <w:pPr>
        <w:adjustRightInd w:val="0"/>
        <w:snapToGrid w:val="0"/>
        <w:spacing w:line="360" w:lineRule="auto"/>
        <w:ind w:firstLine="482" w:firstLineChars="200"/>
        <w:jc w:val="left"/>
        <w:rPr>
          <w:b/>
          <w:bCs/>
          <w:sz w:val="24"/>
          <w:szCs w:val="24"/>
        </w:rPr>
      </w:pPr>
      <w:r>
        <w:rPr>
          <w:rFonts w:hint="eastAsia"/>
          <w:b/>
          <w:bCs/>
          <w:sz w:val="24"/>
          <w:szCs w:val="24"/>
        </w:rPr>
        <w:t>（9）投标文件未按照招标文件要求加盖电子签章或红色实物公章。</w:t>
      </w:r>
    </w:p>
    <w:p w14:paraId="31F7231E">
      <w:pPr>
        <w:adjustRightInd w:val="0"/>
        <w:snapToGrid w:val="0"/>
        <w:spacing w:line="360" w:lineRule="auto"/>
        <w:ind w:firstLine="482" w:firstLineChars="200"/>
        <w:jc w:val="left"/>
        <w:rPr>
          <w:b/>
          <w:bCs/>
          <w:sz w:val="24"/>
          <w:szCs w:val="24"/>
        </w:rPr>
      </w:pPr>
      <w:r>
        <w:rPr>
          <w:rFonts w:hint="eastAsia"/>
          <w:b/>
          <w:bCs/>
          <w:sz w:val="24"/>
          <w:szCs w:val="24"/>
        </w:rPr>
        <w:t>（10）不同的投标人投标文件制作机器码、文件创建标识码一致的。</w:t>
      </w:r>
    </w:p>
    <w:p w14:paraId="710B0C37">
      <w:pPr>
        <w:adjustRightInd w:val="0"/>
        <w:snapToGrid w:val="0"/>
        <w:spacing w:line="360" w:lineRule="auto"/>
        <w:ind w:firstLine="482" w:firstLineChars="200"/>
        <w:jc w:val="left"/>
        <w:rPr>
          <w:b/>
          <w:bCs/>
          <w:sz w:val="24"/>
          <w:szCs w:val="24"/>
        </w:rPr>
      </w:pPr>
      <w:r>
        <w:rPr>
          <w:rFonts w:hint="eastAsia"/>
          <w:b/>
          <w:bCs/>
          <w:sz w:val="24"/>
          <w:szCs w:val="24"/>
        </w:rPr>
        <w:t>（11）投标人的商务技术部分得分相差悬殊，评标委员会认为得分畸低者没有实质性响应的。</w:t>
      </w:r>
    </w:p>
    <w:p w14:paraId="4FE07D69">
      <w:pPr>
        <w:adjustRightInd w:val="0"/>
        <w:snapToGrid w:val="0"/>
        <w:spacing w:line="360" w:lineRule="auto"/>
        <w:ind w:firstLine="482" w:firstLineChars="200"/>
        <w:jc w:val="left"/>
        <w:rPr>
          <w:b/>
          <w:bCs/>
          <w:sz w:val="24"/>
          <w:szCs w:val="24"/>
        </w:rPr>
      </w:pPr>
      <w:r>
        <w:rPr>
          <w:rFonts w:hint="eastAsia"/>
          <w:b/>
          <w:bCs/>
          <w:sz w:val="24"/>
          <w:szCs w:val="24"/>
        </w:rPr>
        <w:t>（12）不具备招标文件中规定资格要求的；</w:t>
      </w:r>
    </w:p>
    <w:p w14:paraId="7238007B">
      <w:pPr>
        <w:adjustRightInd w:val="0"/>
        <w:snapToGrid w:val="0"/>
        <w:spacing w:line="360" w:lineRule="auto"/>
        <w:ind w:firstLine="482" w:firstLineChars="200"/>
        <w:jc w:val="left"/>
        <w:rPr>
          <w:b/>
          <w:bCs/>
          <w:sz w:val="24"/>
          <w:szCs w:val="24"/>
        </w:rPr>
      </w:pPr>
      <w:r>
        <w:rPr>
          <w:rFonts w:hint="eastAsia"/>
          <w:b/>
          <w:bCs/>
          <w:sz w:val="24"/>
          <w:szCs w:val="24"/>
        </w:rPr>
        <w:t>（13）对招标文件未能作出全面实质性响应或对招标文件进行实质性修改的；</w:t>
      </w:r>
    </w:p>
    <w:p w14:paraId="697758A1">
      <w:pPr>
        <w:adjustRightInd w:val="0"/>
        <w:snapToGrid w:val="0"/>
        <w:spacing w:line="360" w:lineRule="auto"/>
        <w:ind w:firstLine="482" w:firstLineChars="200"/>
        <w:jc w:val="left"/>
        <w:rPr>
          <w:b/>
          <w:bCs/>
          <w:sz w:val="24"/>
          <w:szCs w:val="24"/>
        </w:rPr>
      </w:pPr>
      <w:r>
        <w:rPr>
          <w:rFonts w:hint="eastAsia"/>
          <w:b/>
          <w:bCs/>
          <w:sz w:val="24"/>
          <w:szCs w:val="24"/>
        </w:rPr>
        <w:t>（14）投标人有欺诈行为或隐瞒自身违规问题的，提供虚假材料的；</w:t>
      </w:r>
    </w:p>
    <w:p w14:paraId="229012B3">
      <w:pPr>
        <w:adjustRightInd w:val="0"/>
        <w:snapToGrid w:val="0"/>
        <w:spacing w:line="360" w:lineRule="auto"/>
        <w:ind w:firstLine="482" w:firstLineChars="200"/>
        <w:jc w:val="left"/>
        <w:rPr>
          <w:b/>
          <w:bCs/>
          <w:sz w:val="24"/>
          <w:szCs w:val="24"/>
        </w:rPr>
      </w:pPr>
      <w:r>
        <w:rPr>
          <w:rFonts w:hint="eastAsia"/>
          <w:b/>
          <w:bCs/>
          <w:sz w:val="24"/>
          <w:szCs w:val="24"/>
        </w:rPr>
        <w:t>（15）不同投标人委托同一个人办理投标事宜的；不同投标人的投标文件载明的项目管理成员为同一人的；不同投标人的投标文件异常一致的；</w:t>
      </w:r>
    </w:p>
    <w:p w14:paraId="0C2A1A52">
      <w:pPr>
        <w:adjustRightInd w:val="0"/>
        <w:snapToGrid w:val="0"/>
        <w:spacing w:line="360" w:lineRule="auto"/>
        <w:ind w:firstLine="482" w:firstLineChars="200"/>
        <w:jc w:val="left"/>
        <w:rPr>
          <w:b/>
          <w:bCs/>
          <w:sz w:val="24"/>
          <w:szCs w:val="24"/>
        </w:rPr>
      </w:pPr>
      <w:r>
        <w:rPr>
          <w:rFonts w:hint="eastAsia"/>
          <w:b/>
          <w:bCs/>
          <w:sz w:val="24"/>
          <w:szCs w:val="24"/>
        </w:rPr>
        <w:t>（</w:t>
      </w:r>
      <w:r>
        <w:rPr>
          <w:b/>
          <w:bCs/>
          <w:sz w:val="24"/>
          <w:szCs w:val="24"/>
        </w:rPr>
        <w:t>1</w:t>
      </w:r>
      <w:r>
        <w:rPr>
          <w:rFonts w:hint="eastAsia"/>
          <w:b/>
          <w:bCs/>
          <w:sz w:val="24"/>
          <w:szCs w:val="24"/>
        </w:rPr>
        <w:t>6）超出经营范围投标的；</w:t>
      </w:r>
    </w:p>
    <w:p w14:paraId="46408598">
      <w:pPr>
        <w:adjustRightInd w:val="0"/>
        <w:snapToGrid w:val="0"/>
        <w:spacing w:line="360" w:lineRule="auto"/>
        <w:ind w:firstLine="482" w:firstLineChars="200"/>
        <w:jc w:val="left"/>
        <w:rPr>
          <w:b/>
          <w:bCs/>
          <w:sz w:val="24"/>
          <w:szCs w:val="24"/>
        </w:rPr>
      </w:pPr>
      <w:r>
        <w:rPr>
          <w:rFonts w:hint="eastAsia"/>
          <w:b/>
          <w:bCs/>
          <w:sz w:val="24"/>
          <w:szCs w:val="24"/>
        </w:rPr>
        <w:t>（</w:t>
      </w:r>
      <w:r>
        <w:rPr>
          <w:b/>
          <w:bCs/>
          <w:sz w:val="24"/>
          <w:szCs w:val="24"/>
        </w:rPr>
        <w:t>1</w:t>
      </w:r>
      <w:r>
        <w:rPr>
          <w:rFonts w:hint="eastAsia"/>
          <w:b/>
          <w:bCs/>
          <w:sz w:val="24"/>
          <w:szCs w:val="24"/>
        </w:rPr>
        <w:t>7）投标有效期不符合招标文件规定期限的；</w:t>
      </w:r>
    </w:p>
    <w:p w14:paraId="3451EED6">
      <w:pPr>
        <w:adjustRightInd w:val="0"/>
        <w:snapToGrid w:val="0"/>
        <w:spacing w:line="360" w:lineRule="auto"/>
        <w:ind w:firstLine="482" w:firstLineChars="200"/>
        <w:jc w:val="left"/>
        <w:rPr>
          <w:b/>
          <w:bCs/>
          <w:sz w:val="24"/>
          <w:szCs w:val="24"/>
        </w:rPr>
      </w:pPr>
      <w:r>
        <w:rPr>
          <w:rFonts w:hint="eastAsia"/>
          <w:b/>
          <w:bCs/>
          <w:sz w:val="24"/>
          <w:szCs w:val="24"/>
        </w:rPr>
        <w:t>（18）投标人被 “信用中国”网站列入失信被执行人或重大税收违法案件当事人名单或采购严重失信行为记录名单。</w:t>
      </w:r>
    </w:p>
    <w:p w14:paraId="464460AF">
      <w:pPr>
        <w:adjustRightInd w:val="0"/>
        <w:snapToGrid w:val="0"/>
        <w:spacing w:line="360" w:lineRule="auto"/>
        <w:ind w:firstLine="480" w:firstLineChars="200"/>
        <w:jc w:val="left"/>
        <w:rPr>
          <w:sz w:val="24"/>
          <w:szCs w:val="24"/>
        </w:rPr>
      </w:pPr>
      <w:r>
        <w:rPr>
          <w:rFonts w:hint="eastAsia"/>
          <w:sz w:val="24"/>
          <w:szCs w:val="24"/>
        </w:rPr>
        <w:t>（19）其他法律、法规及本招标文件规定的属无效投标的情形。</w:t>
      </w:r>
    </w:p>
    <w:p w14:paraId="483DE45A">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28.2废标条款：</w:t>
      </w:r>
    </w:p>
    <w:p w14:paraId="096E352E">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（1）符合专业条件的供应商或者对招标文件作实质响应的供应商不足三家的；</w:t>
      </w:r>
    </w:p>
    <w:p w14:paraId="63FAC913">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14:paraId="2700D3EB">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（3）投标人的报价均超过了采购预算金额的；</w:t>
      </w:r>
    </w:p>
    <w:p w14:paraId="65CE9511">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14:paraId="41399DF1">
      <w:pPr>
        <w:pStyle w:val="26"/>
        <w:ind w:firstLine="480"/>
        <w:rPr>
          <w:rFonts w:hint="eastAsia" w:ascii="宋体" w:hAnsi="宋体" w:cs="宋体"/>
          <w:sz w:val="24"/>
          <w:szCs w:val="24"/>
        </w:rPr>
      </w:pPr>
      <w:r>
        <w:rPr>
          <w:rFonts w:hint="eastAsia" w:ascii="宋体" w:hAnsi="宋体" w:cs="宋体"/>
          <w:sz w:val="24"/>
          <w:szCs w:val="24"/>
        </w:rPr>
        <w:t>（5）因系统故障原因造成开评标无法继续进行的。</w:t>
      </w:r>
    </w:p>
    <w:p w14:paraId="5A6D0E8D">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28.3投标截止时间结束后参加投标的供应商不足三家的处理：</w:t>
      </w:r>
    </w:p>
    <w:p w14:paraId="24D4158F">
      <w:pPr>
        <w:widowControl/>
        <w:adjustRightInd w:val="0"/>
        <w:snapToGrid w:val="0"/>
        <w:spacing w:line="360" w:lineRule="auto"/>
        <w:ind w:firstLine="480" w:firstLineChars="200"/>
        <w:rPr>
          <w:rFonts w:hint="eastAsia" w:ascii="宋体" w:hAnsi="宋体" w:cs="宋体"/>
          <w:b/>
          <w:sz w:val="24"/>
          <w:szCs w:val="24"/>
          <w:lang w:val="zh-CN"/>
        </w:rPr>
      </w:pPr>
      <w:r>
        <w:rPr>
          <w:rFonts w:hint="eastAsia" w:ascii="宋体" w:hAnsi="宋体" w:cs="宋体"/>
          <w:sz w:val="24"/>
          <w:szCs w:val="24"/>
        </w:rPr>
        <w:t>如出现投标截止时间结束后参加投标的供应商或者在评标期间对招标文件做出实质响应的供应商不足三家情况，参照</w:t>
      </w:r>
      <w:r>
        <w:rPr>
          <w:rFonts w:hint="eastAsia" w:ascii="宋体" w:hAnsi="宋体" w:cs="宋体"/>
          <w:bCs/>
          <w:sz w:val="24"/>
          <w:szCs w:val="24"/>
        </w:rPr>
        <w:t>政府采购相关规定执行</w:t>
      </w:r>
      <w:r>
        <w:rPr>
          <w:rFonts w:hint="eastAsia" w:ascii="宋体" w:hAnsi="宋体" w:cs="宋体"/>
          <w:sz w:val="24"/>
          <w:szCs w:val="24"/>
        </w:rPr>
        <w:t>。</w:t>
      </w:r>
    </w:p>
    <w:p w14:paraId="774BDCB9">
      <w:pPr>
        <w:widowControl/>
        <w:adjustRightInd w:val="0"/>
        <w:snapToGrid w:val="0"/>
        <w:spacing w:line="360" w:lineRule="auto"/>
        <w:ind w:left="-1" w:firstLine="482" w:firstLineChars="200"/>
        <w:jc w:val="left"/>
        <w:outlineLvl w:val="1"/>
        <w:rPr>
          <w:rFonts w:hint="eastAsia" w:ascii="宋体" w:hAnsi="宋体" w:cs="宋体"/>
          <w:b/>
          <w:sz w:val="24"/>
          <w:szCs w:val="24"/>
        </w:rPr>
      </w:pPr>
      <w:r>
        <w:rPr>
          <w:rFonts w:hint="eastAsia" w:ascii="宋体" w:hAnsi="宋体" w:cs="宋体"/>
          <w:b/>
          <w:sz w:val="24"/>
          <w:szCs w:val="24"/>
        </w:rPr>
        <w:t>六、定标</w:t>
      </w:r>
    </w:p>
    <w:p w14:paraId="345F93E1">
      <w:pPr>
        <w:keepNext/>
        <w:keepLines/>
        <w:adjustRightInd w:val="0"/>
        <w:snapToGrid w:val="0"/>
        <w:spacing w:line="360" w:lineRule="auto"/>
        <w:ind w:firstLine="482" w:firstLineChars="200"/>
        <w:outlineLvl w:val="3"/>
        <w:rPr>
          <w:rFonts w:hint="eastAsia" w:ascii="宋体" w:hAnsi="宋体" w:cs="宋体"/>
          <w:b/>
          <w:bCs/>
          <w:sz w:val="24"/>
          <w:szCs w:val="24"/>
        </w:rPr>
      </w:pPr>
      <w:r>
        <w:rPr>
          <w:rFonts w:hint="eastAsia" w:ascii="宋体" w:hAnsi="宋体" w:cs="宋体"/>
          <w:b/>
          <w:bCs/>
          <w:sz w:val="24"/>
          <w:szCs w:val="24"/>
        </w:rPr>
        <w:t>29．确定中标单位</w:t>
      </w:r>
    </w:p>
    <w:p w14:paraId="51B8DD27">
      <w:pPr>
        <w:spacing w:line="500" w:lineRule="exact"/>
        <w:ind w:firstLine="480"/>
        <w:rPr>
          <w:rFonts w:hint="eastAsia" w:ascii="宋体" w:hAnsi="宋体" w:cs="宋体"/>
          <w:bCs/>
          <w:sz w:val="24"/>
          <w:szCs w:val="24"/>
        </w:rPr>
      </w:pPr>
      <w:r>
        <w:rPr>
          <w:rFonts w:hint="eastAsia" w:ascii="宋体" w:hAnsi="宋体" w:cs="宋体"/>
          <w:sz w:val="24"/>
          <w:szCs w:val="24"/>
        </w:rPr>
        <w:t>29.1</w:t>
      </w:r>
      <w:r>
        <w:rPr>
          <w:rFonts w:hint="eastAsia" w:ascii="宋体" w:hAnsi="宋体" w:cs="宋体"/>
          <w:bCs/>
          <w:sz w:val="24"/>
          <w:szCs w:val="24"/>
        </w:rPr>
        <w:t xml:space="preserve">评标委员会汇总各评委评分后，按照得分从高到低的顺序推荐三名中标候选人，并编写评标报告。 </w:t>
      </w:r>
    </w:p>
    <w:p w14:paraId="3C0906C5">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29.2招标人委托评标委员会直接确定排名第一的中标候选人为中标人。</w:t>
      </w:r>
    </w:p>
    <w:p w14:paraId="41559918">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29.3评审结束后，中标人名单将在“如东县限额交易平台”等媒体进行公示，公示时间为1个工作日。</w:t>
      </w:r>
    </w:p>
    <w:p w14:paraId="0BDF0C48">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29.4若有充分证据证明，中标人出现下列情况之一的，一经查实，将被取消中标资格：</w:t>
      </w:r>
    </w:p>
    <w:p w14:paraId="06E6E27A">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14:paraId="628B1E43">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（2）与评审专家、招标人、其他供应商或者招标人工作人员恶意串通的；</w:t>
      </w:r>
    </w:p>
    <w:p w14:paraId="0E14D62C">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（3）向评审专家、招标人或招标人工作人员行贿或者提供其他不正当利益的；</w:t>
      </w:r>
    </w:p>
    <w:p w14:paraId="506903B1">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14:paraId="67BF6F7F">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（5）不满足本招标文件规定的实质性要求，但在评标过程中又未被评委会发现的；</w:t>
      </w:r>
    </w:p>
    <w:p w14:paraId="36253EF1">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（6）不符合法律、法规的规定的其他情形。</w:t>
      </w:r>
    </w:p>
    <w:p w14:paraId="4DEC7B4B">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在此情况下一经认定，报经监督管理部门批准，招标人有权重新组织采购。</w:t>
      </w:r>
    </w:p>
    <w:p w14:paraId="0442BAA0">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sz w:val="24"/>
          <w:szCs w:val="24"/>
        </w:rPr>
        <w:t>29.5</w:t>
      </w:r>
      <w:r>
        <w:rPr>
          <w:rFonts w:hint="eastAsia" w:ascii="宋体" w:hAnsi="宋体" w:cs="宋体"/>
          <w:kern w:val="0"/>
          <w:sz w:val="24"/>
          <w:szCs w:val="24"/>
        </w:rPr>
        <w:t>有下列情形之一的，视为投标供应商串通投标，投标无效：</w:t>
      </w:r>
    </w:p>
    <w:p w14:paraId="0EFE3F74">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（1）不同投标供应商的投标文件由同一单位或者个人编制。</w:t>
      </w:r>
    </w:p>
    <w:p w14:paraId="4AD508E0">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（2）不同投标供应商委托同一单位或者个人办理投标事宜。</w:t>
      </w:r>
    </w:p>
    <w:p w14:paraId="69C25B01">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（3）不同投标供应商的投标文件载明的项目管理成员或者联系人员为同一人。</w:t>
      </w:r>
    </w:p>
    <w:p w14:paraId="602A2933">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（4）不同投标供应商的投标文件异常一致或者投标报价呈规律性差异。</w:t>
      </w:r>
    </w:p>
    <w:p w14:paraId="4C7B82B0">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（6）不同投标供应商的投标文件相互混装。</w:t>
      </w:r>
    </w:p>
    <w:bookmarkEnd w:id="33"/>
    <w:bookmarkEnd w:id="34"/>
    <w:bookmarkEnd w:id="35"/>
    <w:bookmarkEnd w:id="36"/>
    <w:bookmarkEnd w:id="37"/>
    <w:p w14:paraId="395168C3">
      <w:pPr>
        <w:keepNext/>
        <w:keepLines/>
        <w:adjustRightInd w:val="0"/>
        <w:snapToGrid w:val="0"/>
        <w:spacing w:line="360" w:lineRule="auto"/>
        <w:ind w:firstLine="482" w:firstLineChars="200"/>
        <w:outlineLvl w:val="3"/>
        <w:rPr>
          <w:rFonts w:hint="eastAsia" w:ascii="宋体" w:hAnsi="宋体" w:cs="宋体"/>
          <w:b/>
          <w:bCs/>
          <w:sz w:val="24"/>
          <w:szCs w:val="24"/>
        </w:rPr>
      </w:pPr>
      <w:r>
        <w:rPr>
          <w:rFonts w:hint="eastAsia" w:ascii="宋体" w:hAnsi="宋体" w:cs="宋体"/>
          <w:b/>
          <w:bCs/>
          <w:sz w:val="24"/>
          <w:szCs w:val="24"/>
        </w:rPr>
        <w:t>30．中标通知书</w:t>
      </w:r>
    </w:p>
    <w:p w14:paraId="032CDDFB">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30.l中标结果质疑期满后，招标人将向中标供应商发出中标通知书。</w:t>
      </w:r>
    </w:p>
    <w:p w14:paraId="6B4C9131">
      <w:pPr>
        <w:adjustRightInd w:val="0"/>
        <w:snapToGrid w:val="0"/>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rPr>
        <w:t>30.2 中标供应商收到中标通知书后，须立即以书面形式回复招标人，确认中标通知书已收到。</w:t>
      </w:r>
    </w:p>
    <w:p w14:paraId="736AE8AE">
      <w:pPr>
        <w:adjustRightInd w:val="0"/>
        <w:snapToGrid w:val="0"/>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rPr>
        <w:t>30.3中标通知书将是合同的一个组成部分。对招标人和中标供应商均具有法律效力。中标通知书发出后，中标供应商放弃中标项目的，应当依法承担法律责任。</w:t>
      </w:r>
      <w:bookmarkStart w:id="55" w:name="_Toc120614220"/>
      <w:bookmarkStart w:id="56" w:name="_Toc20823308"/>
      <w:bookmarkStart w:id="57" w:name="_Toc513029236"/>
      <w:bookmarkStart w:id="58" w:name="_Toc16938552"/>
    </w:p>
    <w:p w14:paraId="676D50EC">
      <w:pPr>
        <w:widowControl/>
        <w:adjustRightInd w:val="0"/>
        <w:snapToGrid w:val="0"/>
        <w:spacing w:line="360" w:lineRule="auto"/>
        <w:ind w:left="-1" w:firstLine="482" w:firstLineChars="200"/>
        <w:jc w:val="left"/>
        <w:outlineLvl w:val="1"/>
        <w:rPr>
          <w:rFonts w:hint="eastAsia" w:ascii="宋体" w:hAnsi="宋体" w:cs="宋体"/>
          <w:b/>
          <w:sz w:val="24"/>
          <w:szCs w:val="24"/>
        </w:rPr>
      </w:pPr>
      <w:r>
        <w:rPr>
          <w:rFonts w:hint="eastAsia" w:ascii="宋体" w:hAnsi="宋体" w:cs="宋体"/>
          <w:b/>
          <w:sz w:val="24"/>
          <w:szCs w:val="24"/>
        </w:rPr>
        <w:t>七、授予合同</w:t>
      </w:r>
      <w:bookmarkEnd w:id="55"/>
    </w:p>
    <w:bookmarkEnd w:id="56"/>
    <w:bookmarkEnd w:id="57"/>
    <w:bookmarkEnd w:id="58"/>
    <w:p w14:paraId="67C6555C">
      <w:pPr>
        <w:keepNext/>
        <w:keepLines/>
        <w:adjustRightInd w:val="0"/>
        <w:snapToGrid w:val="0"/>
        <w:spacing w:line="360" w:lineRule="auto"/>
        <w:ind w:firstLine="482" w:firstLineChars="200"/>
        <w:outlineLvl w:val="3"/>
        <w:rPr>
          <w:rFonts w:hint="eastAsia" w:ascii="宋体" w:hAnsi="宋体" w:cs="宋体"/>
          <w:b/>
          <w:bCs/>
          <w:sz w:val="24"/>
          <w:szCs w:val="24"/>
        </w:rPr>
      </w:pPr>
      <w:r>
        <w:rPr>
          <w:rFonts w:hint="eastAsia" w:ascii="宋体" w:hAnsi="宋体" w:cs="宋体"/>
          <w:b/>
          <w:bCs/>
          <w:sz w:val="24"/>
          <w:szCs w:val="24"/>
        </w:rPr>
        <w:t>31．签订合同</w:t>
      </w:r>
    </w:p>
    <w:p w14:paraId="3EC58C47">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31.l中标人必须按中标通知书规定的时间、地点,按照招标文件确定的事项签订采购合同，且不得迟于中标通知书发出之日起三十日内，由此给招标人造成损失的，中标人还应承担赔偿责任。</w:t>
      </w:r>
    </w:p>
    <w:p w14:paraId="3BA3622D">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31.2 招标文件、中标人的投标文件及招标过程中有关澄清、承诺文件均应作为合同附件。</w:t>
      </w:r>
    </w:p>
    <w:p w14:paraId="05FA1EC9">
      <w:pPr>
        <w:adjustRightInd w:val="0"/>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31.3在合同签订之前，招标人有权对中标单位的履约能力进行最后审查，审查方式包括询问、调查和实地考察，如发现中标单位提供的材料虚假或对标书所要求说明的情况故意隐瞒或虚报，则招标招标人有权取消其签约资格，并在标书有效期内另行评定中标者，或重新招标。</w:t>
      </w:r>
    </w:p>
    <w:p w14:paraId="677BAE9A">
      <w:pPr>
        <w:adjustRightInd w:val="0"/>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31.4签订合同后，中标人不得将货物及其他相关服务进行转包。未经招标人同意，中标人也不得随意采用分包的形式履行合同，否则招标人有权终止合同，中标人的履约保证金将不予退还。转包或分包造成招标人损失的，中标人应承担相应赔偿责任。</w:t>
      </w:r>
    </w:p>
    <w:p w14:paraId="0EE642E2">
      <w:pPr>
        <w:keepNext/>
        <w:keepLines/>
        <w:adjustRightInd w:val="0"/>
        <w:snapToGrid w:val="0"/>
        <w:spacing w:line="400" w:lineRule="exact"/>
        <w:ind w:firstLine="482" w:firstLineChars="200"/>
        <w:outlineLvl w:val="3"/>
        <w:rPr>
          <w:rFonts w:hint="eastAsia" w:ascii="宋体" w:hAnsi="宋体" w:cs="宋体"/>
          <w:b/>
          <w:bCs/>
          <w:sz w:val="24"/>
          <w:szCs w:val="24"/>
        </w:rPr>
      </w:pPr>
      <w:r>
        <w:rPr>
          <w:rFonts w:hint="eastAsia" w:ascii="宋体" w:hAnsi="宋体" w:cs="宋体"/>
          <w:b/>
          <w:bCs/>
          <w:sz w:val="24"/>
          <w:szCs w:val="24"/>
        </w:rPr>
        <w:t>32．货物和服务的追加、调减</w:t>
      </w:r>
    </w:p>
    <w:p w14:paraId="32A09206">
      <w:pPr>
        <w:adjustRightInd w:val="0"/>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32.1采购合同履行中，需追加与合同标的相同的货物和服务的，在不改变价格水平、合同及其他条款的前提下，招标人可以与中标人协商签订补充合同。</w:t>
      </w:r>
    </w:p>
    <w:p w14:paraId="550EB351">
      <w:pPr>
        <w:adjustRightInd w:val="0"/>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32.2采购结束后，招标人若由于各种客观原因，必须对采购项目所牵涉的货物和服务进行适当的减少时，在双方协商一致的前提下，可以按照招标采购时的价格水平做相应的调减，并据此签订补充合同。</w:t>
      </w:r>
    </w:p>
    <w:p w14:paraId="3001FAAD">
      <w:pPr>
        <w:adjustRightInd w:val="0"/>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32.3项目结束后，招标人若由于各种客观原因，必须对采购项目所牵涉的货物和服务进行适当的添购时，由于须保证原有采购项目一致性或者服务配套的要求，必须符合《政府采购法》的规定并经相关部门批准，可以继续从中标人处按照单一来源采购的方式进行添购，且所牵涉的货物和服务的价格水平不得超过本次公开招标的水平且低于当时的社会平均价。货物和服务的添购，应在本次政府采购合同的基础上，另行签订货物和服务的添购合同。</w:t>
      </w:r>
    </w:p>
    <w:p w14:paraId="56FA86ED">
      <w:pPr>
        <w:keepNext/>
        <w:keepLines/>
        <w:adjustRightInd w:val="0"/>
        <w:snapToGrid w:val="0"/>
        <w:spacing w:line="400" w:lineRule="exact"/>
        <w:ind w:firstLine="482" w:firstLineChars="200"/>
        <w:outlineLvl w:val="3"/>
        <w:rPr>
          <w:rFonts w:hint="eastAsia" w:ascii="宋体" w:hAnsi="宋体" w:cs="宋体"/>
          <w:b/>
          <w:bCs/>
          <w:sz w:val="24"/>
          <w:szCs w:val="24"/>
        </w:rPr>
      </w:pPr>
      <w:r>
        <w:rPr>
          <w:rFonts w:hint="eastAsia" w:ascii="宋体" w:hAnsi="宋体" w:cs="宋体"/>
          <w:b/>
          <w:bCs/>
          <w:sz w:val="24"/>
          <w:szCs w:val="24"/>
        </w:rPr>
        <w:t>33．履约保证金</w:t>
      </w:r>
    </w:p>
    <w:p w14:paraId="64172842">
      <w:pPr>
        <w:widowControl/>
        <w:adjustRightInd w:val="0"/>
        <w:snapToGrid w:val="0"/>
        <w:spacing w:line="400" w:lineRule="exact"/>
        <w:ind w:left="-1" w:firstLine="480" w:firstLineChars="200"/>
        <w:jc w:val="left"/>
        <w:outlineLvl w:val="1"/>
        <w:rPr>
          <w:rFonts w:hint="eastAsia" w:ascii="宋体" w:hAnsi="宋体" w:cs="宋体"/>
          <w:sz w:val="24"/>
          <w:szCs w:val="24"/>
        </w:rPr>
      </w:pPr>
      <w:r>
        <w:rPr>
          <w:rFonts w:hint="eastAsia" w:ascii="宋体" w:hAnsi="宋体" w:cs="宋体"/>
          <w:sz w:val="24"/>
          <w:szCs w:val="24"/>
        </w:rPr>
        <w:t>33.1成交供应商签订合同时须向招标人缴纳履约保证金为</w:t>
      </w:r>
      <w:r>
        <w:rPr>
          <w:rFonts w:hint="eastAsia" w:ascii="宋体" w:hAnsi="宋体" w:cs="宋体"/>
          <w:b/>
          <w:bCs/>
          <w:sz w:val="24"/>
          <w:szCs w:val="24"/>
          <w:u w:val="single"/>
        </w:rPr>
        <w:t xml:space="preserve">中标价的10% </w:t>
      </w:r>
      <w:r>
        <w:rPr>
          <w:rFonts w:hint="eastAsia" w:ascii="宋体" w:hAnsi="宋体" w:cs="宋体"/>
          <w:sz w:val="24"/>
          <w:szCs w:val="24"/>
        </w:rPr>
        <w:t>，允许成交供应商自主选择以支票、汇票、本票、保函等非现金形式缴纳或提交履约保证金，在中标公示结束后7日内缴纳。履约保证金用以约束供应商在合同履行中的行为，弥补合同执行中由于自身行为可能给招标人带来的各种损失。如果成交人不同意按照规定去做，招标人有权取消本次采购中标决定。在此情况下，招标人可重新采购。</w:t>
      </w:r>
    </w:p>
    <w:p w14:paraId="677056F9">
      <w:pPr>
        <w:widowControl/>
        <w:adjustRightInd w:val="0"/>
        <w:snapToGrid w:val="0"/>
        <w:spacing w:line="400" w:lineRule="exact"/>
        <w:ind w:left="-1" w:firstLine="480" w:firstLineChars="200"/>
        <w:jc w:val="left"/>
        <w:outlineLvl w:val="1"/>
        <w:rPr>
          <w:rFonts w:hint="eastAsia" w:ascii="宋体" w:hAnsi="宋体" w:cs="宋体"/>
          <w:sz w:val="24"/>
          <w:szCs w:val="24"/>
        </w:rPr>
      </w:pPr>
      <w:r>
        <w:rPr>
          <w:rFonts w:hint="eastAsia" w:ascii="宋体" w:hAnsi="宋体" w:cs="宋体"/>
          <w:sz w:val="24"/>
          <w:szCs w:val="24"/>
        </w:rPr>
        <w:t>33.2履约保证金的退还：需要交纳履约保证金的项目服务期结束后，成交人凭招标人签署的同意退还履约保证金的证明（证明格式自定,加盖招标单位公章）、履约保证金收条原件，办理保证金退还手续，履约保证金予以全额退还。</w:t>
      </w:r>
    </w:p>
    <w:p w14:paraId="5BC576FB">
      <w:pPr>
        <w:widowControl/>
        <w:adjustRightInd w:val="0"/>
        <w:snapToGrid w:val="0"/>
        <w:spacing w:line="400" w:lineRule="exact"/>
        <w:ind w:left="-1" w:firstLine="480" w:firstLineChars="200"/>
        <w:jc w:val="left"/>
        <w:outlineLvl w:val="1"/>
        <w:rPr>
          <w:rFonts w:hint="eastAsia" w:ascii="宋体" w:hAnsi="宋体" w:cs="宋体"/>
          <w:sz w:val="24"/>
          <w:szCs w:val="24"/>
        </w:rPr>
      </w:pPr>
      <w:r>
        <w:rPr>
          <w:rFonts w:hint="eastAsia" w:ascii="宋体" w:hAnsi="宋体" w:cs="宋体"/>
          <w:sz w:val="24"/>
          <w:szCs w:val="24"/>
        </w:rPr>
        <w:t>34.3发生以下情况的，履约保证金不予退还或部分退还：</w:t>
      </w:r>
    </w:p>
    <w:p w14:paraId="417263EF">
      <w:pPr>
        <w:widowControl/>
        <w:adjustRightInd w:val="0"/>
        <w:snapToGrid w:val="0"/>
        <w:spacing w:line="400" w:lineRule="exact"/>
        <w:ind w:left="-1" w:firstLine="480" w:firstLineChars="200"/>
        <w:jc w:val="left"/>
        <w:outlineLvl w:val="1"/>
        <w:rPr>
          <w:rFonts w:hint="eastAsia" w:ascii="宋体" w:hAnsi="宋体" w:cs="宋体"/>
          <w:sz w:val="24"/>
          <w:szCs w:val="24"/>
        </w:rPr>
      </w:pPr>
      <w:r>
        <w:rPr>
          <w:rFonts w:hint="eastAsia" w:ascii="宋体" w:hAnsi="宋体" w:cs="宋体"/>
          <w:sz w:val="24"/>
          <w:szCs w:val="24"/>
        </w:rPr>
        <w:t>a.签订合同后，中标供应商不履行合同义务的，采购单位有权全额扣除履约保证金，全额不予退还，同时采购单位亦有权终止合同，中标供应商还须承担相应的法律赔偿责任。</w:t>
      </w:r>
    </w:p>
    <w:p w14:paraId="5C709F1D">
      <w:pPr>
        <w:widowControl/>
        <w:adjustRightInd w:val="0"/>
        <w:snapToGrid w:val="0"/>
        <w:spacing w:line="400" w:lineRule="exact"/>
        <w:ind w:left="-1" w:firstLine="480" w:firstLineChars="200"/>
        <w:jc w:val="left"/>
        <w:outlineLvl w:val="1"/>
        <w:rPr>
          <w:rFonts w:hint="eastAsia" w:ascii="宋体" w:hAnsi="宋体" w:cs="宋体"/>
          <w:sz w:val="24"/>
          <w:szCs w:val="24"/>
        </w:rPr>
      </w:pPr>
      <w:r>
        <w:rPr>
          <w:rFonts w:hint="eastAsia" w:ascii="宋体" w:hAnsi="宋体" w:cs="宋体"/>
          <w:sz w:val="24"/>
          <w:szCs w:val="24"/>
        </w:rPr>
        <w:t>b.中标供应商在履约过程中发生违约行为，给采购单位造成损失的，采购单位有权在中标供应商缴纳的履约保证金中予以扣款，以弥补采购单位经济损失，不足的部分中标供应商另外补齐。</w:t>
      </w:r>
    </w:p>
    <w:p w14:paraId="67950CD3">
      <w:pPr>
        <w:widowControl/>
        <w:adjustRightInd w:val="0"/>
        <w:snapToGrid w:val="0"/>
        <w:spacing w:line="400" w:lineRule="exact"/>
        <w:ind w:left="-1" w:firstLine="482" w:firstLineChars="200"/>
        <w:jc w:val="left"/>
        <w:outlineLvl w:val="1"/>
        <w:rPr>
          <w:rFonts w:hint="eastAsia" w:ascii="宋体" w:hAnsi="宋体" w:cs="宋体"/>
          <w:b/>
          <w:sz w:val="24"/>
          <w:szCs w:val="24"/>
        </w:rPr>
      </w:pPr>
      <w:r>
        <w:rPr>
          <w:rFonts w:hint="eastAsia" w:ascii="宋体" w:hAnsi="宋体" w:cs="宋体"/>
          <w:b/>
          <w:sz w:val="24"/>
          <w:szCs w:val="24"/>
        </w:rPr>
        <w:t>八、其他说明</w:t>
      </w:r>
    </w:p>
    <w:p w14:paraId="5C19ED11">
      <w:pPr>
        <w:pStyle w:val="64"/>
        <w:tabs>
          <w:tab w:val="clear" w:pos="720"/>
        </w:tabs>
        <w:adjustRightInd w:val="0"/>
        <w:snapToGrid w:val="0"/>
        <w:spacing w:line="360" w:lineRule="auto"/>
        <w:ind w:left="-1" w:firstLine="480" w:firstLineChars="200"/>
        <w:rPr>
          <w:rFonts w:hint="eastAsia" w:ascii="宋体" w:hAnsi="宋体" w:cs="宋体"/>
          <w:b w:val="0"/>
          <w:bCs/>
          <w:sz w:val="24"/>
          <w:szCs w:val="24"/>
        </w:rPr>
      </w:pPr>
      <w:r>
        <w:rPr>
          <w:rFonts w:hint="eastAsia" w:ascii="宋体" w:hAnsi="宋体" w:cs="宋体"/>
          <w:b w:val="0"/>
          <w:bCs/>
          <w:sz w:val="24"/>
          <w:szCs w:val="24"/>
        </w:rPr>
        <w:t>1、投标供应商如对本招标文件中的采购需求（包括详细方案、服务要求、供应商资格条件等）有疑问或不明之处，可与招标人联系。招标人对招标项目的采购需求有解释权。在招标过程中如出现投标供应商针对本项目采购需求提出质疑、疑问，由招标人负责并按规定进行答复。</w:t>
      </w:r>
    </w:p>
    <w:p w14:paraId="69A88D06">
      <w:pPr>
        <w:adjustRightInd w:val="0"/>
        <w:snapToGrid w:val="0"/>
        <w:spacing w:line="360" w:lineRule="auto"/>
        <w:ind w:firstLine="420" w:firstLineChars="200"/>
        <w:rPr>
          <w:rFonts w:hint="eastAsia" w:ascii="宋体" w:hAnsi="宋体" w:cs="宋体"/>
        </w:rPr>
      </w:pPr>
      <w:r>
        <w:rPr>
          <w:rFonts w:ascii="宋体" w:hAnsi="宋体" w:cs="宋体"/>
        </w:rPr>
        <w:br w:type="page"/>
      </w:r>
    </w:p>
    <w:p w14:paraId="023715F2">
      <w:pPr>
        <w:pStyle w:val="57"/>
        <w:adjustRightInd w:val="0"/>
        <w:spacing w:afterLines="0"/>
        <w:rPr>
          <w:rFonts w:hint="eastAsia" w:ascii="宋体" w:hAnsi="宋体" w:cs="宋体"/>
          <w:sz w:val="24"/>
        </w:rPr>
      </w:pPr>
      <w:r>
        <w:rPr>
          <w:rFonts w:hint="eastAsia" w:ascii="宋体" w:hAnsi="宋体" w:eastAsia="宋体" w:cs="宋体"/>
          <w:sz w:val="36"/>
          <w:szCs w:val="36"/>
        </w:rPr>
        <w:t>第三章    项目需求</w:t>
      </w:r>
    </w:p>
    <w:p w14:paraId="16519492">
      <w:pPr>
        <w:spacing w:line="400" w:lineRule="exact"/>
        <w:ind w:firstLine="482" w:firstLineChars="200"/>
        <w:rPr>
          <w:rFonts w:hint="eastAsia" w:ascii="宋体" w:hAnsi="宋体" w:cs="宋体"/>
          <w:b/>
          <w:bCs/>
          <w:kern w:val="1"/>
          <w:sz w:val="24"/>
          <w:szCs w:val="24"/>
          <w:lang w:val="zh-CN"/>
        </w:rPr>
      </w:pPr>
      <w:bookmarkStart w:id="59" w:name="_Toc307561711"/>
      <w:bookmarkStart w:id="60" w:name="_Toc335124682"/>
      <w:bookmarkStart w:id="61" w:name="_Toc335123871"/>
      <w:r>
        <w:rPr>
          <w:rFonts w:hint="eastAsia" w:ascii="宋体" w:hAnsi="宋体" w:cs="宋体"/>
          <w:b/>
          <w:bCs/>
          <w:kern w:val="1"/>
          <w:sz w:val="24"/>
          <w:szCs w:val="24"/>
          <w:lang w:val="zh-CN"/>
        </w:rPr>
        <w:t>一、</w:t>
      </w:r>
      <w:r>
        <w:rPr>
          <w:rFonts w:hint="eastAsia" w:ascii="宋体" w:hAnsi="宋体" w:cs="宋体"/>
          <w:b/>
          <w:bCs/>
          <w:color w:val="000000"/>
          <w:sz w:val="24"/>
          <w:szCs w:val="24"/>
        </w:rPr>
        <w:t>项目概况</w:t>
      </w:r>
    </w:p>
    <w:p w14:paraId="52BD6C99">
      <w:pPr>
        <w:spacing w:line="400" w:lineRule="exact"/>
        <w:ind w:firstLine="480" w:firstLineChars="200"/>
        <w:rPr>
          <w:rFonts w:hint="eastAsia" w:ascii="宋体" w:hAnsi="宋体" w:cs="宋体"/>
          <w:sz w:val="24"/>
          <w:szCs w:val="24"/>
        </w:rPr>
      </w:pPr>
      <w:r>
        <w:rPr>
          <w:rFonts w:hint="eastAsia" w:ascii="宋体" w:hAnsi="宋体" w:cs="宋体"/>
          <w:color w:val="000000"/>
          <w:sz w:val="24"/>
          <w:szCs w:val="24"/>
        </w:rPr>
        <w:t>根据供水行业反恐怖防范标准要求，</w:t>
      </w:r>
      <w:r>
        <w:rPr>
          <w:rFonts w:hint="eastAsia" w:ascii="宋体" w:hAnsi="宋体" w:cs="宋体"/>
          <w:sz w:val="24"/>
          <w:szCs w:val="24"/>
        </w:rPr>
        <w:t>如东水务集团有限公司</w:t>
      </w:r>
      <w:r>
        <w:rPr>
          <w:rFonts w:hint="eastAsia" w:ascii="宋体" w:hAnsi="宋体" w:cs="宋体"/>
          <w:color w:val="000000"/>
          <w:sz w:val="24"/>
          <w:szCs w:val="24"/>
        </w:rPr>
        <w:t>供水中心、岔河增压泵站、公司综合大楼三处，共12名保安，其中设一名队长，队长兼综合大楼保安，保安训练、管理考核、安保责任等全部由安保公司负责，队长全面负责五处安保日常管理；</w:t>
      </w:r>
      <w:r>
        <w:rPr>
          <w:rFonts w:hint="eastAsia" w:ascii="宋体" w:hAnsi="宋体" w:cs="宋体"/>
          <w:sz w:val="24"/>
          <w:szCs w:val="24"/>
        </w:rPr>
        <w:t>提供3名保洁人员，负责大楼的卫生保洁工作；提供7名泵站看护人员，负责各泵站的看护工作；提供厨师1名、帮厨4名，配合完成职工食堂的日常工作；污水公司10名，负责泵站运维、厨师及污水公司大楼安保服务；水务发展公司7名，负责掘港、大豫、栟茶营业部运维；岔河泵站2名；互花米草项目1名。（注：具体人数根据项目实施需求可能有所调整）。</w:t>
      </w:r>
    </w:p>
    <w:p w14:paraId="47FC05F8">
      <w:pPr>
        <w:spacing w:line="400" w:lineRule="exact"/>
        <w:ind w:firstLine="482" w:firstLineChars="200"/>
        <w:rPr>
          <w:rFonts w:hint="eastAsia" w:ascii="宋体" w:hAnsi="宋体" w:cs="宋体"/>
          <w:color w:val="000000"/>
          <w:sz w:val="24"/>
          <w:szCs w:val="24"/>
        </w:rPr>
      </w:pPr>
      <w:r>
        <w:rPr>
          <w:rFonts w:hint="eastAsia" w:ascii="宋体" w:hAnsi="宋体" w:cs="宋体"/>
          <w:b/>
          <w:bCs/>
          <w:kern w:val="1"/>
          <w:sz w:val="24"/>
          <w:szCs w:val="24"/>
          <w:lang w:val="zh-CN"/>
        </w:rPr>
        <w:t>二、服务工作内容</w:t>
      </w:r>
    </w:p>
    <w:p w14:paraId="2A7DD383">
      <w:pPr>
        <w:spacing w:line="400" w:lineRule="exact"/>
        <w:ind w:firstLine="480" w:firstLineChars="200"/>
        <w:rPr>
          <w:rFonts w:hint="eastAsia" w:ascii="宋体" w:hAnsi="宋体" w:cs="宋体"/>
          <w:color w:val="000000"/>
          <w:kern w:val="1"/>
          <w:sz w:val="24"/>
          <w:szCs w:val="24"/>
        </w:rPr>
      </w:pPr>
      <w:r>
        <w:rPr>
          <w:rFonts w:hint="eastAsia" w:ascii="宋体" w:hAnsi="宋体" w:cs="宋体"/>
          <w:color w:val="000000"/>
          <w:kern w:val="1"/>
          <w:sz w:val="24"/>
          <w:szCs w:val="24"/>
        </w:rPr>
        <w:t>投标人依照《江苏省城市公共供水行业反恐怖防范标准》要求，结合如东水务集团有限公司安全保卫工作实际情况，制订切实可行的安全保卫工作整体方案，开展专业化安防业务。具体服务工作内容如下：</w:t>
      </w:r>
    </w:p>
    <w:p w14:paraId="382808F4">
      <w:pPr>
        <w:spacing w:line="400" w:lineRule="exact"/>
        <w:ind w:firstLine="480" w:firstLineChars="200"/>
        <w:rPr>
          <w:rFonts w:hint="eastAsia" w:ascii="宋体" w:hAnsi="宋体" w:cs="宋体"/>
          <w:color w:val="000000"/>
          <w:kern w:val="1"/>
          <w:sz w:val="24"/>
          <w:szCs w:val="24"/>
        </w:rPr>
      </w:pPr>
      <w:r>
        <w:rPr>
          <w:rFonts w:hint="eastAsia" w:ascii="宋体" w:hAnsi="宋体" w:cs="宋体"/>
          <w:color w:val="000000"/>
          <w:kern w:val="1"/>
          <w:sz w:val="24"/>
          <w:szCs w:val="24"/>
        </w:rPr>
        <w:t>1、全面负责如东水务集团有限公司供水重地供水中心、岔河增压泵站和公司综合楼的安全保卫工作，维持安全稳定，及时发现和消除安全隐患，确保安保责任区内安全无事故。</w:t>
      </w:r>
    </w:p>
    <w:p w14:paraId="72EC539A">
      <w:pPr>
        <w:spacing w:line="400" w:lineRule="exact"/>
        <w:ind w:firstLine="480" w:firstLineChars="200"/>
        <w:rPr>
          <w:rFonts w:hint="eastAsia" w:ascii="宋体" w:hAnsi="宋体" w:cs="宋体"/>
          <w:color w:val="000000"/>
          <w:kern w:val="1"/>
          <w:sz w:val="24"/>
          <w:szCs w:val="24"/>
        </w:rPr>
      </w:pPr>
      <w:r>
        <w:rPr>
          <w:rFonts w:hint="eastAsia" w:ascii="宋体" w:hAnsi="宋体" w:cs="宋体"/>
          <w:color w:val="000000"/>
          <w:kern w:val="1"/>
          <w:sz w:val="24"/>
          <w:szCs w:val="24"/>
        </w:rPr>
        <w:t>2、负责公司安全重点部位的防破坏、防事故、防盗、防外来人员私自进入等守护守卫工作。</w:t>
      </w:r>
    </w:p>
    <w:p w14:paraId="6F50286A">
      <w:pPr>
        <w:spacing w:line="400" w:lineRule="exact"/>
        <w:ind w:firstLine="480" w:firstLineChars="200"/>
        <w:rPr>
          <w:rFonts w:hint="eastAsia" w:ascii="宋体" w:hAnsi="宋体" w:cs="宋体"/>
          <w:color w:val="000000"/>
          <w:kern w:val="1"/>
          <w:sz w:val="24"/>
          <w:szCs w:val="24"/>
        </w:rPr>
      </w:pPr>
      <w:r>
        <w:rPr>
          <w:rFonts w:hint="eastAsia" w:ascii="宋体" w:hAnsi="宋体" w:cs="宋体"/>
          <w:color w:val="000000"/>
          <w:kern w:val="1"/>
          <w:sz w:val="24"/>
          <w:szCs w:val="24"/>
        </w:rPr>
        <w:t>3、对公司供水重地和综合楼的大门实行24小时门卫管理，负责对外来机动车辆、外来人员、出入公司物品进行检查、登记等门卫值勤工作。</w:t>
      </w:r>
    </w:p>
    <w:p w14:paraId="712B52E1">
      <w:pPr>
        <w:spacing w:line="400" w:lineRule="exact"/>
        <w:ind w:firstLine="480" w:firstLineChars="200"/>
        <w:rPr>
          <w:rFonts w:hint="eastAsia" w:ascii="宋体" w:hAnsi="宋体" w:cs="宋体"/>
          <w:color w:val="000000"/>
          <w:kern w:val="1"/>
          <w:sz w:val="24"/>
          <w:szCs w:val="24"/>
        </w:rPr>
      </w:pPr>
      <w:r>
        <w:rPr>
          <w:rFonts w:hint="eastAsia" w:ascii="宋体" w:hAnsi="宋体" w:cs="宋体"/>
          <w:color w:val="000000"/>
          <w:kern w:val="1"/>
          <w:sz w:val="24"/>
          <w:szCs w:val="24"/>
        </w:rPr>
        <w:t>4、负责组织治安巡逻，及时发现各类安全隐患，</w:t>
      </w:r>
      <w:r>
        <w:rPr>
          <w:rFonts w:hint="eastAsia" w:ascii="宋体" w:hAnsi="宋体" w:cs="宋体"/>
          <w:color w:val="000000"/>
          <w:sz w:val="24"/>
          <w:szCs w:val="24"/>
        </w:rPr>
        <w:t>制止公司内发生的不文明举止</w:t>
      </w:r>
      <w:r>
        <w:rPr>
          <w:rFonts w:hint="eastAsia" w:ascii="宋体" w:hAnsi="宋体" w:cs="宋体"/>
          <w:color w:val="000000"/>
          <w:kern w:val="1"/>
          <w:sz w:val="24"/>
          <w:szCs w:val="24"/>
        </w:rPr>
        <w:t>，发现和制止公司暴力事件，随时准备提供紧急救助。</w:t>
      </w:r>
    </w:p>
    <w:p w14:paraId="261782FE">
      <w:pPr>
        <w:spacing w:line="400" w:lineRule="exact"/>
        <w:ind w:firstLine="480" w:firstLineChars="200"/>
        <w:rPr>
          <w:rFonts w:hint="eastAsia" w:ascii="宋体" w:hAnsi="宋体" w:cs="宋体"/>
          <w:color w:val="000000"/>
          <w:kern w:val="1"/>
          <w:sz w:val="24"/>
          <w:szCs w:val="24"/>
        </w:rPr>
      </w:pPr>
      <w:r>
        <w:rPr>
          <w:rFonts w:hint="eastAsia" w:ascii="宋体" w:hAnsi="宋体" w:cs="宋体"/>
          <w:color w:val="000000"/>
          <w:kern w:val="1"/>
          <w:sz w:val="24"/>
          <w:szCs w:val="24"/>
        </w:rPr>
        <w:t>5、配合公司执行各项管理制度，维护公司内工作、交通、生活秩序，执行率100%；接受相关部门的监督检查、考核及业务指导。参与公司突发事件处置、灾害预防、火灾扑救。</w:t>
      </w:r>
    </w:p>
    <w:p w14:paraId="6F090A7C">
      <w:pPr>
        <w:spacing w:line="400" w:lineRule="exact"/>
        <w:ind w:firstLine="480" w:firstLineChars="200"/>
        <w:rPr>
          <w:rFonts w:hint="eastAsia" w:ascii="宋体" w:hAnsi="宋体" w:cs="宋体"/>
          <w:color w:val="000000"/>
          <w:kern w:val="1"/>
          <w:sz w:val="24"/>
          <w:szCs w:val="24"/>
        </w:rPr>
      </w:pPr>
      <w:r>
        <w:rPr>
          <w:rFonts w:hint="eastAsia" w:ascii="宋体" w:hAnsi="宋体" w:cs="宋体"/>
          <w:color w:val="000000"/>
          <w:kern w:val="1"/>
          <w:sz w:val="24"/>
          <w:szCs w:val="24"/>
        </w:rPr>
        <w:t>6、配合采购人供水生产，按规范操作辅助生产设施。</w:t>
      </w:r>
    </w:p>
    <w:p w14:paraId="48E42A70">
      <w:pPr>
        <w:spacing w:line="400" w:lineRule="exact"/>
        <w:ind w:firstLine="480" w:firstLineChars="200"/>
        <w:rPr>
          <w:rFonts w:hint="eastAsia" w:ascii="宋体" w:hAnsi="宋体" w:cs="宋体"/>
          <w:color w:val="000000"/>
          <w:kern w:val="1"/>
          <w:sz w:val="24"/>
          <w:szCs w:val="24"/>
        </w:rPr>
      </w:pPr>
      <w:r>
        <w:rPr>
          <w:rFonts w:hint="eastAsia" w:ascii="宋体" w:hAnsi="宋体" w:cs="宋体"/>
          <w:color w:val="000000"/>
          <w:kern w:val="1"/>
          <w:sz w:val="24"/>
          <w:szCs w:val="24"/>
        </w:rPr>
        <w:t>7、做好工作台账（包括上级明令要求的工作检查台账），各项台账齐全。</w:t>
      </w:r>
    </w:p>
    <w:p w14:paraId="743CDA09">
      <w:pPr>
        <w:spacing w:line="400" w:lineRule="exact"/>
        <w:ind w:firstLine="480" w:firstLineChars="200"/>
        <w:rPr>
          <w:rFonts w:hint="eastAsia" w:ascii="宋体" w:hAnsi="宋体" w:cs="宋体"/>
          <w:color w:val="000000"/>
          <w:kern w:val="1"/>
          <w:sz w:val="24"/>
          <w:szCs w:val="24"/>
        </w:rPr>
      </w:pPr>
      <w:r>
        <w:rPr>
          <w:rFonts w:hint="eastAsia" w:ascii="宋体" w:hAnsi="宋体" w:cs="宋体"/>
          <w:color w:val="000000"/>
          <w:kern w:val="1"/>
          <w:sz w:val="24"/>
          <w:szCs w:val="24"/>
        </w:rPr>
        <w:t>8、其它属于保安服务范围内的工作以及公司临时交办的任务。</w:t>
      </w:r>
    </w:p>
    <w:p w14:paraId="5D8572D2">
      <w:pPr>
        <w:pStyle w:val="20"/>
        <w:spacing w:line="400" w:lineRule="exact"/>
        <w:ind w:firstLine="480" w:firstLineChars="200"/>
        <w:rPr>
          <w:rFonts w:hint="eastAsia" w:ascii="宋体" w:hAnsi="宋体" w:cs="宋体"/>
          <w:b w:val="0"/>
          <w:bCs w:val="0"/>
          <w:sz w:val="24"/>
          <w:szCs w:val="24"/>
        </w:rPr>
      </w:pPr>
      <w:r>
        <w:rPr>
          <w:rFonts w:hint="eastAsia" w:ascii="宋体" w:hAnsi="宋体" w:cs="宋体"/>
          <w:b w:val="0"/>
          <w:bCs w:val="0"/>
          <w:sz w:val="24"/>
          <w:szCs w:val="24"/>
        </w:rPr>
        <w:t>9、日常保洁区域:办公区域的地面、墙壁、玻璃、卫生间的清洁，电梯间的地面、墙壁的清洁。包括一楼大厅的地面、墙壁、玻璃、楼梯的清洁、卫生间等所有场所内的清洁服务。</w:t>
      </w:r>
    </w:p>
    <w:p w14:paraId="6392BD53">
      <w:pPr>
        <w:spacing w:line="400" w:lineRule="exact"/>
        <w:ind w:firstLine="480" w:firstLineChars="200"/>
        <w:rPr>
          <w:rFonts w:hint="eastAsia" w:ascii="宋体" w:hAnsi="宋体" w:cs="宋体"/>
          <w:sz w:val="24"/>
          <w:szCs w:val="24"/>
        </w:rPr>
      </w:pPr>
      <w:r>
        <w:rPr>
          <w:rFonts w:hint="eastAsia" w:ascii="宋体" w:hAnsi="宋体" w:cs="宋体"/>
          <w:sz w:val="24"/>
          <w:szCs w:val="24"/>
        </w:rPr>
        <w:t>10、泵站看护人员需24小时看护巡查</w:t>
      </w:r>
    </w:p>
    <w:p w14:paraId="0F760D98">
      <w:pPr>
        <w:pStyle w:val="20"/>
        <w:spacing w:line="400" w:lineRule="exact"/>
        <w:ind w:firstLine="480" w:firstLineChars="200"/>
        <w:rPr>
          <w:rFonts w:hint="eastAsia" w:ascii="宋体" w:hAnsi="宋体" w:cs="宋体"/>
          <w:b w:val="0"/>
          <w:bCs w:val="0"/>
          <w:sz w:val="24"/>
          <w:szCs w:val="24"/>
        </w:rPr>
      </w:pPr>
      <w:r>
        <w:rPr>
          <w:rFonts w:hint="eastAsia" w:ascii="宋体" w:hAnsi="宋体" w:cs="宋体"/>
          <w:b w:val="0"/>
          <w:bCs w:val="0"/>
          <w:sz w:val="24"/>
          <w:szCs w:val="24"/>
        </w:rPr>
        <w:t>11、厨师、帮厨人员一律听从主厨安排，保障</w:t>
      </w:r>
      <w:r>
        <w:rPr>
          <w:rFonts w:hint="eastAsia" w:ascii="宋体" w:hAnsi="宋体" w:cs="宋体"/>
          <w:b w:val="0"/>
          <w:bCs w:val="0"/>
          <w:caps w:val="0"/>
          <w:sz w:val="24"/>
          <w:szCs w:val="24"/>
          <w:shd w:val="clear" w:color="auto" w:fill="FFFFFF"/>
        </w:rPr>
        <w:t>员工工作餐的及时供应，负责厨房的菜品的准备工作，负责食堂的清洁卫生，供餐完毕对餐桌.地面进行清扫。</w:t>
      </w:r>
    </w:p>
    <w:p w14:paraId="3EF43E09">
      <w:pPr>
        <w:spacing w:line="400" w:lineRule="exact"/>
        <w:ind w:firstLine="482" w:firstLineChars="200"/>
        <w:rPr>
          <w:rFonts w:hint="eastAsia" w:ascii="宋体" w:hAnsi="宋体" w:cs="宋体"/>
          <w:b/>
          <w:bCs/>
          <w:kern w:val="1"/>
          <w:sz w:val="24"/>
          <w:szCs w:val="24"/>
          <w:lang w:val="zh-CN"/>
        </w:rPr>
      </w:pPr>
      <w:r>
        <w:rPr>
          <w:rFonts w:hint="eastAsia" w:ascii="宋体" w:hAnsi="宋体" w:cs="宋体"/>
          <w:b/>
          <w:bCs/>
          <w:kern w:val="1"/>
          <w:sz w:val="24"/>
          <w:szCs w:val="24"/>
          <w:lang w:val="zh-CN"/>
        </w:rPr>
        <w:t>三、服务工作要求</w:t>
      </w:r>
    </w:p>
    <w:p w14:paraId="3AFCB37D">
      <w:pPr>
        <w:spacing w:line="400" w:lineRule="exact"/>
        <w:ind w:firstLine="482" w:firstLineChars="200"/>
        <w:rPr>
          <w:rFonts w:hint="eastAsia" w:ascii="宋体" w:hAnsi="宋体" w:cs="宋体"/>
          <w:b/>
          <w:bCs/>
          <w:color w:val="000000"/>
          <w:kern w:val="1"/>
          <w:sz w:val="24"/>
          <w:szCs w:val="24"/>
        </w:rPr>
      </w:pPr>
      <w:r>
        <w:rPr>
          <w:rFonts w:hint="eastAsia" w:ascii="宋体" w:hAnsi="宋体" w:cs="宋体"/>
          <w:b/>
          <w:bCs/>
          <w:color w:val="000000"/>
          <w:kern w:val="1"/>
          <w:sz w:val="24"/>
          <w:szCs w:val="24"/>
        </w:rPr>
        <w:t>1、质量目标要求</w:t>
      </w:r>
    </w:p>
    <w:p w14:paraId="0B7EA28C">
      <w:pPr>
        <w:spacing w:line="400" w:lineRule="exact"/>
        <w:ind w:firstLine="480" w:firstLineChars="200"/>
        <w:rPr>
          <w:rFonts w:hint="eastAsia" w:ascii="宋体" w:hAnsi="宋体" w:cs="宋体"/>
          <w:color w:val="000000"/>
          <w:kern w:val="1"/>
          <w:sz w:val="24"/>
          <w:szCs w:val="24"/>
        </w:rPr>
      </w:pPr>
      <w:r>
        <w:rPr>
          <w:rFonts w:hint="eastAsia" w:ascii="宋体" w:hAnsi="宋体" w:cs="宋体"/>
          <w:color w:val="000000"/>
          <w:kern w:val="1"/>
          <w:sz w:val="24"/>
          <w:szCs w:val="24"/>
        </w:rPr>
        <w:t>⑴ 依照行业标准，根据公司管理规定与服务要求，制订切实可行的公司安保服务整体方案和应急预案，突发事件反应迅速，预案处置有力。</w:t>
      </w:r>
    </w:p>
    <w:p w14:paraId="142E8A10">
      <w:pPr>
        <w:spacing w:line="400" w:lineRule="exact"/>
        <w:ind w:firstLine="480" w:firstLineChars="200"/>
        <w:rPr>
          <w:rFonts w:hint="eastAsia" w:ascii="宋体" w:hAnsi="宋体" w:cs="宋体"/>
          <w:color w:val="000000"/>
          <w:kern w:val="1"/>
          <w:sz w:val="24"/>
          <w:szCs w:val="24"/>
        </w:rPr>
      </w:pPr>
      <w:r>
        <w:rPr>
          <w:rFonts w:hint="eastAsia" w:ascii="宋体" w:hAnsi="宋体" w:cs="宋体"/>
          <w:color w:val="000000"/>
          <w:kern w:val="1"/>
          <w:sz w:val="24"/>
          <w:szCs w:val="24"/>
        </w:rPr>
        <w:t>⑵ 依法办事，文明值勤，严格管理，保障公司财产和员工人身权益不受侵害，维护正常的工作、科研、生活秩序；</w:t>
      </w:r>
    </w:p>
    <w:p w14:paraId="587339F0">
      <w:pPr>
        <w:spacing w:line="400" w:lineRule="exact"/>
        <w:ind w:firstLine="480" w:firstLineChars="200"/>
        <w:rPr>
          <w:rFonts w:hint="eastAsia" w:ascii="宋体" w:hAnsi="宋体" w:cs="宋体"/>
          <w:color w:val="000000"/>
          <w:kern w:val="1"/>
          <w:sz w:val="24"/>
          <w:szCs w:val="24"/>
        </w:rPr>
      </w:pPr>
      <w:r>
        <w:rPr>
          <w:rFonts w:hint="eastAsia" w:ascii="宋体" w:hAnsi="宋体" w:cs="宋体"/>
          <w:color w:val="000000"/>
          <w:kern w:val="1"/>
          <w:sz w:val="24"/>
          <w:szCs w:val="24"/>
        </w:rPr>
        <w:t>⑶ 全年无责任事故和责任案件发生，员工有安全感，对公司安保服务满意率达90%以上。</w:t>
      </w:r>
    </w:p>
    <w:p w14:paraId="578299E2">
      <w:pPr>
        <w:spacing w:line="400" w:lineRule="exact"/>
        <w:ind w:firstLine="482" w:firstLineChars="200"/>
        <w:rPr>
          <w:rFonts w:hint="eastAsia" w:ascii="宋体" w:hAnsi="宋体" w:cs="宋体"/>
          <w:b/>
          <w:bCs/>
          <w:color w:val="000000"/>
          <w:kern w:val="1"/>
          <w:sz w:val="24"/>
          <w:szCs w:val="24"/>
        </w:rPr>
      </w:pPr>
      <w:r>
        <w:rPr>
          <w:rFonts w:hint="eastAsia" w:ascii="宋体" w:hAnsi="宋体" w:cs="宋体"/>
          <w:b/>
          <w:bCs/>
          <w:color w:val="000000"/>
          <w:kern w:val="1"/>
          <w:sz w:val="24"/>
          <w:szCs w:val="24"/>
        </w:rPr>
        <w:t>2、服务要求</w:t>
      </w:r>
    </w:p>
    <w:p w14:paraId="485649F1">
      <w:pPr>
        <w:spacing w:line="400" w:lineRule="exact"/>
        <w:ind w:firstLine="480" w:firstLineChars="200"/>
        <w:rPr>
          <w:rFonts w:hint="eastAsia" w:ascii="宋体" w:hAnsi="宋体" w:cs="宋体"/>
          <w:color w:val="000000"/>
          <w:kern w:val="1"/>
          <w:sz w:val="24"/>
          <w:szCs w:val="24"/>
        </w:rPr>
      </w:pPr>
      <w:r>
        <w:rPr>
          <w:rFonts w:hint="eastAsia" w:ascii="宋体" w:hAnsi="宋体" w:cs="宋体"/>
          <w:color w:val="000000"/>
          <w:kern w:val="1"/>
          <w:sz w:val="24"/>
          <w:szCs w:val="24"/>
        </w:rPr>
        <w:t>⑴ 自行配备门卫值勤、安全巡逻所需的器材和通讯设备等。</w:t>
      </w:r>
    </w:p>
    <w:p w14:paraId="315F9066">
      <w:pPr>
        <w:spacing w:line="400" w:lineRule="exact"/>
        <w:ind w:firstLine="480" w:firstLineChars="200"/>
        <w:rPr>
          <w:rFonts w:hint="eastAsia" w:ascii="宋体" w:hAnsi="宋体" w:cs="宋体"/>
          <w:color w:val="000000"/>
          <w:kern w:val="1"/>
          <w:sz w:val="24"/>
          <w:szCs w:val="24"/>
        </w:rPr>
      </w:pPr>
      <w:r>
        <w:rPr>
          <w:rFonts w:hint="eastAsia" w:ascii="宋体" w:hAnsi="宋体" w:cs="宋体"/>
          <w:color w:val="000000"/>
          <w:kern w:val="1"/>
          <w:sz w:val="24"/>
          <w:szCs w:val="24"/>
        </w:rPr>
        <w:t>⑵ 按治安管理要求，派驻公司的安保人员应持身份证到公司党政办填写“外来人员登记表”，如有人员变动应及时到公司登记备案。值班、巡逻人员值班表每月提前报本公司党政办。</w:t>
      </w:r>
    </w:p>
    <w:p w14:paraId="3A335778">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⑶ 负责公司的门卫工作，按照公司有关规定，认真管理好进出公司的人员、车辆和物资等。</w:t>
      </w:r>
    </w:p>
    <w:p w14:paraId="5EAF7C32">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⑷ 公司遇有重大活动需要增配、抽调人员协助时，应无偿按照公司要求执行，工作时应着统一服装及标志。</w:t>
      </w:r>
    </w:p>
    <w:p w14:paraId="0D3C6FB2">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⑸ 坚持文明执勤、文明上岗。上岗人员要仪表整洁卫生，站岗姿势要端正规范，指挥车辆动作要准确、标准，执勤语言要文明。</w:t>
      </w:r>
    </w:p>
    <w:p w14:paraId="6295B7DC">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⑹ 积极主动协调处理公司内治安、消防等方面的突发事件，迅速排除各种险情，及时制止违法犯罪行为，及时向公司报告各类案件、事故及其他重大问题和重要情况。</w:t>
      </w:r>
    </w:p>
    <w:p w14:paraId="24BB559B">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⑺ 要加强值班，建立文明值班室。值班场所做到整洁、卫生、有序，负责门前三包（包安全、包卫生、包秩序）；上岗人员做到“六不”：不擅离岗位，不打瞌睡，不闲聊嬉闹，不打牌下棋，不喝酒，不干私活会客。</w:t>
      </w:r>
    </w:p>
    <w:p w14:paraId="41CFD740">
      <w:pPr>
        <w:autoSpaceDE w:val="0"/>
        <w:autoSpaceDN w:val="0"/>
        <w:spacing w:line="400" w:lineRule="exact"/>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3、队伍建设与管理要求</w:t>
      </w:r>
    </w:p>
    <w:p w14:paraId="5D819813">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⑴ 负责提供派驻安保人员值勤所需的装备、器材、通讯设备、常用办公耗材等，派驻公司值勤的安保人员须持有专业上岗证。</w:t>
      </w:r>
    </w:p>
    <w:p w14:paraId="4FB40B56">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⑵ 从公司安全实际出发，经常性开展在岗人员业务培训和应急预案演练。</w:t>
      </w:r>
    </w:p>
    <w:p w14:paraId="4923B470">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⑶ 内部管理体制健全，设立保安队长，全面负责日常安保队伍的规范化管理。</w:t>
      </w:r>
    </w:p>
    <w:p w14:paraId="79CE107D">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⑷ 保持保安队伍的稳定，严格控制非违纪人员轮换岗比例，合同期限内轮换岗保安人数不得超过合同编制的30%，并在投标书中作出承诺；更换安保队伍主要管理员的，应提前一个月以书面形式通知公司，更换其他队员的，应提前三天告知公司，确保服务质量不因人员变动而受影响。</w:t>
      </w:r>
    </w:p>
    <w:p w14:paraId="715B8983">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⑸ 保安应聘、录用、离职等管理档案规范，手续齐全，相应资料必须报公司备案，禁止离职保安进入公司。</w:t>
      </w:r>
    </w:p>
    <w:p w14:paraId="5FB75B67">
      <w:pPr>
        <w:autoSpaceDE w:val="0"/>
        <w:autoSpaceDN w:val="0"/>
        <w:spacing w:line="400" w:lineRule="exact"/>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4、人员素质要求</w:t>
      </w:r>
    </w:p>
    <w:p w14:paraId="183A5F27">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⑴ 派驻公司的安保人员应知法、懂法、守法、依法办事，必须严格遵守保安从业规范，模范遵守安全管理规定。</w:t>
      </w:r>
    </w:p>
    <w:p w14:paraId="126121C1">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⑵保安队长应具有较高的政治思想素养和业务水平，有较强的组织协调能力，受过专门的保安业务培训。</w:t>
      </w:r>
    </w:p>
    <w:p w14:paraId="3358A0A3">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⑶ 派驻公司的安保人员应具备的个人素质条件：具有</w:t>
      </w:r>
      <w:r>
        <w:rPr>
          <w:rFonts w:hint="eastAsia" w:ascii="宋体" w:hAnsi="宋体" w:cs="宋体"/>
          <w:color w:val="000000"/>
          <w:sz w:val="24"/>
          <w:szCs w:val="24"/>
          <w:lang w:val="en-US" w:eastAsia="zh-CN"/>
        </w:rPr>
        <w:t>初</w:t>
      </w:r>
      <w:r>
        <w:rPr>
          <w:rFonts w:hint="eastAsia" w:ascii="宋体" w:hAnsi="宋体" w:cs="宋体"/>
          <w:color w:val="000000"/>
          <w:sz w:val="24"/>
          <w:szCs w:val="24"/>
        </w:rPr>
        <w:t>中及以上文化程度，退伍军人为佳</w:t>
      </w:r>
      <w:r>
        <w:rPr>
          <w:rFonts w:hint="eastAsia" w:ascii="宋体" w:hAnsi="宋体" w:cs="宋体"/>
          <w:color w:val="000000"/>
          <w:sz w:val="24"/>
          <w:szCs w:val="24"/>
          <w:highlight w:val="none"/>
        </w:rPr>
        <w:t>，年龄在55周岁以内的不少于3人（其中须有一名保安具有中级消防证），身体</w:t>
      </w:r>
      <w:r>
        <w:rPr>
          <w:rFonts w:hint="eastAsia" w:ascii="宋体" w:hAnsi="宋体" w:cs="宋体"/>
          <w:color w:val="000000"/>
          <w:sz w:val="24"/>
          <w:szCs w:val="24"/>
        </w:rPr>
        <w:t>健康，无传染病及精神病史，体检上岗，提交体检表，符合供水生产岗位体检合格指标，体貌端正，无犯罪记录。</w:t>
      </w:r>
    </w:p>
    <w:p w14:paraId="6A17578B">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⑷ 派驻公司的安保人员有高度的责任感和吃苦耐劳的精神，受过不少于24课时的岗前专业培训，熟知公司的管理规定，恪尽职守，善于发现各类问题，具备一定的管理经验和处理突发事件能力。</w:t>
      </w:r>
    </w:p>
    <w:p w14:paraId="1C865088">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⑸ 保安队长负责对派驻公司的安保人员进行业务指导、管理与监督，确保安保人员在公司内无违规、违纪事件发生。</w:t>
      </w:r>
    </w:p>
    <w:p w14:paraId="67CC2D7F">
      <w:pPr>
        <w:autoSpaceDE w:val="0"/>
        <w:autoSpaceDN w:val="0"/>
        <w:spacing w:line="400" w:lineRule="exact"/>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5、工作衔接要求</w:t>
      </w:r>
    </w:p>
    <w:p w14:paraId="1EFA54E7">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⑴ 根据行业服务标准与公司规定要求，独立运作，落实公司安全保卫整体方案，并结合公司实际在实践中不断完善。</w:t>
      </w:r>
    </w:p>
    <w:p w14:paraId="0497EDC0">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⑵ 保安队长必须与公司综合管理部保持工作交流，每天向公司党政办口头汇报所承担的安保工作开展情况及信息反馈，重大情况须及时报告。</w:t>
      </w:r>
    </w:p>
    <w:p w14:paraId="53888B55">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⑶ 做好详细的执勤记录，原始台帐保存完好，以备公司核查。</w:t>
      </w:r>
    </w:p>
    <w:p w14:paraId="385618A4">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⑷ 协同治安协防组织，形成群防群治体系。</w:t>
      </w:r>
    </w:p>
    <w:p w14:paraId="59FC2078">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⑸ 与公司安全供水管理协作，内外联动，开展一体化安全防范。</w:t>
      </w:r>
    </w:p>
    <w:p w14:paraId="38769414">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⑹ 与当地派出所、综治办加强合作与交流。</w:t>
      </w:r>
    </w:p>
    <w:p w14:paraId="381BA01A">
      <w:pPr>
        <w:autoSpaceDE w:val="0"/>
        <w:autoSpaceDN w:val="0"/>
        <w:spacing w:line="400" w:lineRule="exact"/>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6、岗位工作职责要求</w:t>
      </w:r>
    </w:p>
    <w:p w14:paraId="16D9E14F">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保安队长：以身作则、吃苦在先、讲求奉献；贯彻落实公司任务要求与工作安排，组织实施公司安全保卫整体方案；负责安排保安的日常工作，参与保安值勤、定时巡逻，增援重点岗位；督促检查在岗人员履行岗位职责情况，纠正队员违规违纪行为，日常管理不流于形式，形成良好的队风；处理各岗位的突发事件，重大情况及时报告；妥善保管好公司提供的设备器材，严格交接班制度；组织指挥保安队员做好公司重大活动的安全保卫与秩序保障工作；将各岗位的执勤情况汇总记录；承担保安违规违纪的连带责任。</w:t>
      </w:r>
    </w:p>
    <w:p w14:paraId="3FA561B3">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（2）门卫管理：严格人员、车辆、物资进出管理；按时立岗(立岗时间：8:00－18:00  上午：8:00-8:30；下午17:50-18</w:t>
      </w:r>
      <w:r>
        <w:rPr>
          <w:rFonts w:hint="eastAsia" w:ascii="宋体" w:hAnsi="宋体" w:cs="宋体"/>
          <w:sz w:val="24"/>
          <w:szCs w:val="24"/>
        </w:rPr>
        <w:t>:20</w:t>
      </w:r>
      <w:r>
        <w:rPr>
          <w:rFonts w:hint="eastAsia" w:ascii="宋体" w:hAnsi="宋体" w:cs="宋体"/>
          <w:color w:val="000000"/>
          <w:sz w:val="24"/>
          <w:szCs w:val="24"/>
        </w:rPr>
        <w:t>)，礼貌待人，树立良好的窗口形象；对来访人员实行验证登记制度，禁止闲杂人员混入公司；对携物出门实行出门证验审制度，防止财物流失；对外单位车辆实行换证进入制度；维护责任区域秩序，与各岗位互通信息；值班室无闲杂人员滞留，保持内外环境整洁卫生和门前三包；完成公司交办的其他事项。</w:t>
      </w:r>
    </w:p>
    <w:p w14:paraId="46A1ED3D">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3）机动巡逻：发现和排除各种不安全因素，及时处置各种违法犯罪行为；听从队长的工作安排与指挥调度，善于发现、分析处理各种事故隐患和突发事件；根据不同情况，灵活执行巡逻方案；加强对重点区域、要害部位的安全巡查，巡更采点不流于形式，并与监控室保持联动；协助各岗位开展公司秩序维护和交通秩序管理工作；协助党政办管理及责任部门开展安全防范并如实记录汇报巡逻记录。</w:t>
      </w:r>
    </w:p>
    <w:p w14:paraId="4D171580">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4）通过门卫卡口管理、区域守护与机动巡逻，形成安全防范网络；保障公司内正常的工作、生活秩序；禁止小商、小贩、盲流人员进入守护区域；加强公司内部交通秩序管理，通过主动干预提示，控制车辆速度，禁止无牌照车辆进入公司，保障大门内道路畅通，无交通事故发生，无车辆乱停乱放现象；按公司规定对悬挂横幅进行管理，及时清理公司内乱贴物，发现反动标语、宣传物等及时报告党政办。</w:t>
      </w:r>
    </w:p>
    <w:p w14:paraId="09A0AF43">
      <w:pPr>
        <w:autoSpaceDE w:val="0"/>
        <w:autoSpaceDN w:val="0"/>
        <w:spacing w:line="400" w:lineRule="exact"/>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7、岗位人员数量要求</w:t>
      </w:r>
    </w:p>
    <w:p w14:paraId="7470560F">
      <w:pPr>
        <w:spacing w:line="400" w:lineRule="exact"/>
        <w:ind w:firstLine="480" w:firstLineChars="200"/>
        <w:rPr>
          <w:rFonts w:hint="eastAsia" w:ascii="宋体" w:hAnsi="宋体" w:cs="宋体"/>
          <w:sz w:val="24"/>
          <w:szCs w:val="24"/>
        </w:rPr>
      </w:pPr>
      <w:r>
        <w:rPr>
          <w:rFonts w:hint="eastAsia" w:ascii="宋体" w:hAnsi="宋体" w:cs="宋体"/>
          <w:sz w:val="24"/>
          <w:szCs w:val="24"/>
        </w:rPr>
        <w:t>如东水务集团有限公司</w:t>
      </w:r>
      <w:r>
        <w:rPr>
          <w:rFonts w:hint="eastAsia" w:ascii="宋体" w:hAnsi="宋体" w:cs="宋体"/>
          <w:color w:val="000000"/>
          <w:sz w:val="24"/>
          <w:szCs w:val="24"/>
        </w:rPr>
        <w:t>供水中心、岔河增压泵站、公司综合大楼三处，共12名保安，其中设一名队长，队长兼综合大楼保安，保安训练、管理考核、安保责任等全部由安保公司负责，队长全面负责五处安保日常管理；提供3名保洁人员，负责大楼的卫生保洁工作；提供7名泵站看护人员，负责各泵站的看护工作；提供厨师1名、帮厨4名，配合完成职工食堂的日常工作；污水公司10名，负责泵站运维、厨师及污水公司大楼安保服务；水务发展公司7名，负责掘港、大豫、栟茶营业部运维；岔河泵站2名；</w:t>
      </w:r>
      <w:r>
        <w:rPr>
          <w:rFonts w:hint="eastAsia" w:ascii="宋体" w:hAnsi="宋体" w:cs="宋体"/>
          <w:sz w:val="24"/>
          <w:szCs w:val="24"/>
        </w:rPr>
        <w:t>互花米草项目1名。（注：具体人数根据项目实施需求可能有所调整）。</w:t>
      </w:r>
    </w:p>
    <w:p w14:paraId="14A26A8C">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中标单位必须按岗位要求，配备保安力量，并保证实际到岗。中标单位对其用工行为承担一切法律责任。</w:t>
      </w:r>
    </w:p>
    <w:p w14:paraId="35DE4252">
      <w:pPr>
        <w:autoSpaceDE w:val="0"/>
        <w:autoSpaceDN w:val="0"/>
        <w:spacing w:line="400" w:lineRule="exact"/>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8、考核细则</w:t>
      </w:r>
    </w:p>
    <w:p w14:paraId="2AA305E1">
      <w:pPr>
        <w:widowControl/>
        <w:spacing w:line="4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sz w:val="24"/>
          <w:szCs w:val="24"/>
        </w:rPr>
        <w:t>（1）</w:t>
      </w:r>
      <w:r>
        <w:rPr>
          <w:rFonts w:hint="eastAsia" w:ascii="宋体" w:hAnsi="宋体" w:cs="宋体"/>
          <w:color w:val="000000"/>
          <w:kern w:val="0"/>
          <w:sz w:val="24"/>
          <w:szCs w:val="24"/>
        </w:rPr>
        <w:t>着装整齐统一规范：头发光鲜、领带打正、帽子戴正、不挽袖、不卷裤腿、不留胡须、下班时间不在工作区域范围内穿背心、短裤、拖鞋，风纪严明；若有不合格处，酌情处理；</w:t>
      </w:r>
    </w:p>
    <w:p w14:paraId="4B254428">
      <w:pPr>
        <w:widowControl/>
        <w:spacing w:line="4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sz w:val="24"/>
          <w:szCs w:val="24"/>
        </w:rPr>
        <w:t>（2）</w:t>
      </w:r>
      <w:r>
        <w:rPr>
          <w:rFonts w:hint="eastAsia" w:ascii="宋体" w:hAnsi="宋体" w:cs="宋体"/>
          <w:color w:val="000000"/>
          <w:kern w:val="0"/>
          <w:sz w:val="24"/>
          <w:szCs w:val="24"/>
        </w:rPr>
        <w:t>文明服务礼貌待人：主动与用户打招呼并问好，遇领导及外来参观访问人员应起立、敬礼问候；纠正违规行为时应先敬礼；交接班时应互相问候并敬礼，按正规交接形式交接班；工作时间不游玩、嬉戏或取笑服务对象及其它人员；若有不合格处，酌情处理；</w:t>
      </w:r>
    </w:p>
    <w:p w14:paraId="6FB48DF1">
      <w:pPr>
        <w:widowControl/>
        <w:spacing w:line="4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sz w:val="24"/>
          <w:szCs w:val="24"/>
        </w:rPr>
        <w:t>（3）</w:t>
      </w:r>
      <w:r>
        <w:rPr>
          <w:rFonts w:hint="eastAsia" w:ascii="宋体" w:hAnsi="宋体" w:cs="宋体"/>
          <w:color w:val="000000"/>
          <w:kern w:val="0"/>
          <w:sz w:val="24"/>
          <w:szCs w:val="24"/>
        </w:rPr>
        <w:t>忠于职守乐于助人：坚守岗位、不脱岗、不做与工作无关的任何事情，认真做好工作记录，详尽登记工作中发生的大事；主动帮助用户拿取重物，为服务对象排忧解难；认真指引来访人员；若有不合格处，酌情处理；</w:t>
      </w:r>
    </w:p>
    <w:p w14:paraId="7CB64777">
      <w:pPr>
        <w:widowControl/>
        <w:spacing w:line="4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sz w:val="24"/>
          <w:szCs w:val="24"/>
        </w:rPr>
        <w:t>（4）</w:t>
      </w:r>
      <w:r>
        <w:rPr>
          <w:rFonts w:hint="eastAsia" w:ascii="宋体" w:hAnsi="宋体" w:cs="宋体"/>
          <w:color w:val="000000"/>
          <w:kern w:val="0"/>
          <w:sz w:val="24"/>
          <w:szCs w:val="24"/>
        </w:rPr>
        <w:t>认真搞好本岗位环境卫生，若有不合格处，酌情处理；</w:t>
      </w:r>
    </w:p>
    <w:p w14:paraId="77E0963D">
      <w:pPr>
        <w:widowControl/>
        <w:spacing w:line="4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sz w:val="24"/>
          <w:szCs w:val="24"/>
        </w:rPr>
        <w:t>（5）</w:t>
      </w:r>
      <w:r>
        <w:rPr>
          <w:rFonts w:hint="eastAsia" w:ascii="宋体" w:hAnsi="宋体" w:cs="宋体"/>
          <w:color w:val="000000"/>
          <w:kern w:val="0"/>
          <w:sz w:val="24"/>
          <w:szCs w:val="24"/>
        </w:rPr>
        <w:t>外出请假，请假不超假；尽职尽责，认真搞好本职工作；上班不看书阅报，不与人闲谈；不吃东西，不放闲杂人等进入岗亭；监督维护本责任区内卫生。若有不合格处，酌情处理；</w:t>
      </w:r>
    </w:p>
    <w:p w14:paraId="7DF0A5A8">
      <w:pPr>
        <w:widowControl/>
        <w:spacing w:line="4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sz w:val="24"/>
          <w:szCs w:val="24"/>
        </w:rPr>
        <w:t>（6）</w:t>
      </w:r>
      <w:r>
        <w:rPr>
          <w:rFonts w:hint="eastAsia" w:ascii="宋体" w:hAnsi="宋体" w:cs="宋体"/>
          <w:color w:val="000000"/>
          <w:kern w:val="0"/>
          <w:sz w:val="24"/>
          <w:szCs w:val="24"/>
        </w:rPr>
        <w:t>完成采购单位交办的临时性工作。</w:t>
      </w:r>
    </w:p>
    <w:p w14:paraId="141015D8">
      <w:pPr>
        <w:autoSpaceDE w:val="0"/>
        <w:autoSpaceDN w:val="0"/>
        <w:spacing w:line="400" w:lineRule="exact"/>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9、评分考核办法</w:t>
      </w:r>
    </w:p>
    <w:p w14:paraId="4822C407">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每月由采购方负责人按《保安工作月检表》项目，逐一对保安人员进行考核，考核共分六项：前四项每项A为20分、B为18分、C为16分、D为14分、E为12分；后两项每项A为10分、B为8分、C为6分、D为4分、E为2分。</w:t>
      </w:r>
    </w:p>
    <w:p w14:paraId="78C72219">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总分为100分，91~100分为A、81~90分为B、71~80分为C、61~70分为D、60分以下为E。</w:t>
      </w:r>
    </w:p>
    <w:p w14:paraId="0A7405F5">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对安保人员考核平均分为A，全额拨付月度安保费用。如考核平均分为B，扣5%月度安保费用。如考核平均分为C，扣15%月度安保费用。如考核平均分为D，扣30%月度安保费用，并发整改通知书。如考核平均分为E，扣50%月度安保费用，并劝退保安服务。所扣费用不予退还中标方。</w:t>
      </w:r>
    </w:p>
    <w:p w14:paraId="201538A2">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日常考核细则</w:t>
      </w:r>
    </w:p>
    <w:p w14:paraId="692A7445">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公司职能部门指定或交办的卫生清扫、环境整理不符标准要求或被上级检查不合格的，一次（处）扣罚50元；车辆未按规定停放或秩序较乱一次（处）扣罚50元；值班部位脏乱差被查或反映属实，一次（处）扣50元；未按规定巡查检查或每日固定工作（启闭饮水机、登记来访车辆人员、来访人员擅自进入公司大楼等）不到位情况，每次扣50元，情节严重或因工作不力导致恶劣影响的，视情扣罚当月安保服务费用；其它不明事项因安保主观原因导致上级检查通报并责令整改的，解除安保协议，当月安保服务费用直接扣除。</w:t>
      </w:r>
    </w:p>
    <w:p w14:paraId="1CBB579B">
      <w:pPr>
        <w:spacing w:line="400" w:lineRule="exact"/>
        <w:ind w:firstLine="482" w:firstLineChars="200"/>
        <w:rPr>
          <w:rFonts w:hint="eastAsia" w:ascii="宋体" w:hAnsi="宋体" w:cs="宋体"/>
          <w:b/>
          <w:bCs/>
          <w:kern w:val="1"/>
          <w:sz w:val="24"/>
          <w:szCs w:val="24"/>
          <w:lang w:val="zh-CN"/>
        </w:rPr>
      </w:pPr>
      <w:r>
        <w:rPr>
          <w:rFonts w:hint="eastAsia" w:ascii="宋体" w:hAnsi="宋体" w:cs="宋体"/>
          <w:b/>
          <w:bCs/>
          <w:kern w:val="1"/>
          <w:sz w:val="24"/>
          <w:szCs w:val="24"/>
          <w:lang w:val="zh-CN"/>
        </w:rPr>
        <w:t>四、服务期限：</w:t>
      </w:r>
      <w:r>
        <w:rPr>
          <w:rFonts w:hint="eastAsia" w:ascii="宋体" w:hAnsi="宋体" w:cs="宋体"/>
          <w:color w:val="000000"/>
          <w:sz w:val="24"/>
          <w:szCs w:val="24"/>
        </w:rPr>
        <w:t>自合同签订之日起一年。</w:t>
      </w:r>
    </w:p>
    <w:p w14:paraId="5A1C954C">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注：合同服务期满，经采购单位考核，中标单位履约情况良好的，采购单位有权选择与中标单位续签合同。</w:t>
      </w:r>
    </w:p>
    <w:p w14:paraId="15986319">
      <w:pPr>
        <w:spacing w:line="400" w:lineRule="exact"/>
        <w:ind w:firstLine="482" w:firstLineChars="200"/>
        <w:rPr>
          <w:rFonts w:hint="eastAsia" w:ascii="宋体" w:hAnsi="宋体" w:cs="宋体"/>
          <w:b/>
          <w:bCs/>
          <w:kern w:val="1"/>
          <w:sz w:val="24"/>
          <w:szCs w:val="24"/>
          <w:lang w:val="zh-CN"/>
        </w:rPr>
      </w:pPr>
      <w:r>
        <w:rPr>
          <w:rFonts w:hint="eastAsia" w:ascii="宋体" w:hAnsi="宋体" w:cs="宋体"/>
          <w:b/>
          <w:bCs/>
          <w:kern w:val="1"/>
          <w:sz w:val="24"/>
          <w:szCs w:val="24"/>
          <w:lang w:val="zh-CN"/>
        </w:rPr>
        <w:t>五、付款条件</w:t>
      </w:r>
    </w:p>
    <w:p w14:paraId="121E6B6F">
      <w:pPr>
        <w:pStyle w:val="14"/>
        <w:spacing w:line="400" w:lineRule="exact"/>
        <w:ind w:firstLine="480" w:firstLineChars="200"/>
        <w:rPr>
          <w:rFonts w:hint="eastAsia" w:hAnsi="宋体" w:cs="宋体"/>
          <w:sz w:val="24"/>
          <w:szCs w:val="24"/>
        </w:rPr>
      </w:pPr>
      <w:r>
        <w:rPr>
          <w:rFonts w:hint="eastAsia" w:hAnsi="宋体" w:cs="宋体"/>
          <w:sz w:val="24"/>
          <w:szCs w:val="24"/>
        </w:rPr>
        <w:t>根据双方签订的合同要求及每月的服务完成情况，并经考核合格后，每季度支付上一季度的服务费用。</w:t>
      </w:r>
    </w:p>
    <w:p w14:paraId="340C4164">
      <w:pPr>
        <w:pStyle w:val="14"/>
        <w:spacing w:line="400" w:lineRule="exact"/>
        <w:ind w:firstLine="482" w:firstLineChars="200"/>
        <w:rPr>
          <w:rFonts w:hint="eastAsia" w:hAnsi="宋体" w:cs="宋体"/>
          <w:b/>
          <w:sz w:val="24"/>
          <w:szCs w:val="24"/>
        </w:rPr>
      </w:pPr>
      <w:r>
        <w:rPr>
          <w:rFonts w:hint="eastAsia" w:hAnsi="宋体" w:cs="宋体"/>
          <w:b/>
          <w:sz w:val="24"/>
          <w:szCs w:val="24"/>
        </w:rPr>
        <w:t>注：中标单位每次申请付款时须出具书面付款申请，同时提供现行税率（</w:t>
      </w:r>
      <w:r>
        <w:rPr>
          <w:rFonts w:hint="eastAsia" w:hAnsi="宋体" w:cs="宋体"/>
          <w:b/>
          <w:sz w:val="24"/>
          <w:szCs w:val="24"/>
          <w:lang w:val="en-US" w:eastAsia="zh-CN"/>
        </w:rPr>
        <w:t>6</w:t>
      </w:r>
      <w:r>
        <w:rPr>
          <w:rFonts w:hint="eastAsia" w:hAnsi="宋体" w:cs="宋体"/>
          <w:b/>
          <w:sz w:val="24"/>
          <w:szCs w:val="24"/>
        </w:rPr>
        <w:t>%）的增值税专用发票。</w:t>
      </w:r>
    </w:p>
    <w:p w14:paraId="5535586B">
      <w:pPr>
        <w:spacing w:line="400" w:lineRule="exact"/>
        <w:ind w:firstLine="482" w:firstLineChars="200"/>
        <w:rPr>
          <w:rFonts w:hint="eastAsia" w:ascii="宋体" w:hAnsi="宋体" w:cs="宋体"/>
          <w:sz w:val="24"/>
          <w:szCs w:val="24"/>
        </w:rPr>
      </w:pPr>
      <w:r>
        <w:rPr>
          <w:rFonts w:hint="eastAsia" w:ascii="宋体" w:hAnsi="宋体" w:cs="宋体"/>
          <w:b/>
          <w:bCs/>
          <w:kern w:val="1"/>
          <w:sz w:val="24"/>
          <w:szCs w:val="24"/>
          <w:lang w:val="zh-CN"/>
        </w:rPr>
        <w:t>六、其他说明：</w:t>
      </w:r>
      <w:r>
        <w:rPr>
          <w:rFonts w:hint="eastAsia" w:ascii="宋体" w:hAnsi="宋体" w:cs="宋体"/>
          <w:sz w:val="24"/>
          <w:szCs w:val="24"/>
        </w:rPr>
        <w:t>若采购单位日后因业务发展需增加或减少人数的，服务费应按合同规定的单价增减，无需另签补充协议。</w:t>
      </w:r>
    </w:p>
    <w:p w14:paraId="7A8DD876">
      <w:pPr>
        <w:spacing w:line="400" w:lineRule="exact"/>
        <w:ind w:firstLine="482" w:firstLineChars="200"/>
        <w:jc w:val="left"/>
        <w:rPr>
          <w:rFonts w:hint="eastAsia" w:ascii="宋体" w:hAnsi="宋体" w:cs="宋体"/>
          <w:b/>
          <w:bCs/>
          <w:sz w:val="24"/>
          <w:szCs w:val="24"/>
        </w:rPr>
      </w:pPr>
    </w:p>
    <w:p w14:paraId="2EB60DAC">
      <w:pPr>
        <w:pStyle w:val="23"/>
        <w:shd w:val="clear" w:color="auto" w:fill="FFFFFF"/>
        <w:spacing w:line="450" w:lineRule="atLeast"/>
        <w:ind w:firstLine="482" w:firstLineChars="200"/>
        <w:rPr>
          <w:rFonts w:hint="eastAsia" w:ascii="宋体" w:hAnsi="宋体" w:cs="宋体"/>
          <w:b/>
          <w:bCs/>
          <w:color w:val="333333"/>
          <w:szCs w:val="24"/>
          <w:shd w:val="clear" w:color="auto" w:fill="FFFFFF"/>
          <w:lang w:bidi="ar"/>
        </w:rPr>
      </w:pPr>
    </w:p>
    <w:p w14:paraId="19373B0E">
      <w:pPr>
        <w:pStyle w:val="2"/>
        <w:keepNext w:val="0"/>
        <w:ind w:firstLine="480" w:firstLineChars="200"/>
        <w:rPr>
          <w:rFonts w:hint="eastAsia" w:ascii="宋体" w:hAnsi="宋体" w:eastAsia="宋体" w:cs="宋体"/>
          <w:sz w:val="24"/>
          <w:szCs w:val="24"/>
          <w:lang w:val="zh-CN"/>
        </w:rPr>
      </w:pPr>
    </w:p>
    <w:p w14:paraId="76E14B12">
      <w:pPr>
        <w:pStyle w:val="2"/>
        <w:keepNext w:val="0"/>
        <w:ind w:firstLine="480" w:firstLineChars="200"/>
        <w:rPr>
          <w:rFonts w:hint="eastAsia" w:ascii="宋体" w:hAnsi="宋体" w:eastAsia="宋体" w:cs="宋体"/>
          <w:sz w:val="24"/>
          <w:szCs w:val="24"/>
          <w:lang w:val="zh-CN"/>
        </w:rPr>
      </w:pPr>
    </w:p>
    <w:p w14:paraId="61054060">
      <w:pPr>
        <w:pStyle w:val="57"/>
        <w:adjustRightInd w:val="0"/>
        <w:snapToGrid w:val="0"/>
        <w:spacing w:afterLines="0" w:line="400" w:lineRule="exact"/>
        <w:jc w:val="both"/>
        <w:rPr>
          <w:rFonts w:hint="eastAsia" w:ascii="宋体" w:hAnsi="宋体" w:eastAsia="宋体" w:cs="宋体"/>
          <w:sz w:val="36"/>
          <w:szCs w:val="36"/>
        </w:rPr>
      </w:pPr>
    </w:p>
    <w:p w14:paraId="21839F42">
      <w:pPr>
        <w:pStyle w:val="57"/>
        <w:adjustRightInd w:val="0"/>
        <w:snapToGrid w:val="0"/>
        <w:spacing w:afterLines="0" w:line="460" w:lineRule="exact"/>
        <w:ind w:firstLine="2530" w:firstLineChars="700"/>
        <w:jc w:val="both"/>
        <w:rPr>
          <w:sz w:val="36"/>
          <w:szCs w:val="36"/>
        </w:rPr>
      </w:pPr>
      <w:r>
        <w:rPr>
          <w:rFonts w:hint="eastAsia" w:ascii="宋体" w:hAnsi="宋体" w:eastAsia="宋体" w:cs="宋体"/>
          <w:sz w:val="36"/>
          <w:szCs w:val="36"/>
        </w:rPr>
        <w:t>第四章 评标方法</w:t>
      </w:r>
      <w:bookmarkEnd w:id="59"/>
      <w:bookmarkEnd w:id="60"/>
      <w:bookmarkEnd w:id="61"/>
      <w:r>
        <w:rPr>
          <w:rFonts w:hint="eastAsia" w:ascii="宋体" w:hAnsi="宋体" w:eastAsia="宋体" w:cs="宋体"/>
          <w:sz w:val="36"/>
          <w:szCs w:val="36"/>
        </w:rPr>
        <w:t>与评标标准</w:t>
      </w:r>
    </w:p>
    <w:p w14:paraId="51816E88">
      <w:pPr>
        <w:adjustRightInd w:val="0"/>
        <w:snapToGrid w:val="0"/>
        <w:spacing w:line="460" w:lineRule="exact"/>
        <w:jc w:val="left"/>
        <w:rPr>
          <w:b/>
          <w:sz w:val="24"/>
        </w:rPr>
      </w:pPr>
    </w:p>
    <w:p w14:paraId="6D7A4327">
      <w:pPr>
        <w:adjustRightInd w:val="0"/>
        <w:snapToGrid w:val="0"/>
        <w:spacing w:line="460" w:lineRule="exact"/>
        <w:ind w:firstLine="720" w:firstLineChars="300"/>
        <w:rPr>
          <w:rFonts w:hint="eastAsia" w:ascii="宋体" w:hAnsi="宋体" w:cs="宋体"/>
          <w:color w:val="auto"/>
          <w:sz w:val="24"/>
          <w:szCs w:val="24"/>
        </w:rPr>
      </w:pPr>
      <w:r>
        <w:rPr>
          <w:rFonts w:hint="eastAsia" w:ascii="宋体" w:hAnsi="宋体" w:cs="宋体"/>
          <w:sz w:val="24"/>
          <w:szCs w:val="24"/>
        </w:rPr>
        <w:t>本项目采用综合评分法。分资格审查、商务技术标、价格标三部分评审，总分值为100分，加分和减分因素除外。评审因素及各比重如下：价格分值占总分值的比重为</w:t>
      </w:r>
      <w:r>
        <w:rPr>
          <w:rFonts w:hint="eastAsia" w:ascii="宋体" w:hAnsi="宋体" w:cs="宋体"/>
          <w:sz w:val="24"/>
          <w:szCs w:val="24"/>
          <w:lang w:val="en-US" w:eastAsia="zh-CN"/>
        </w:rPr>
        <w:t>3</w:t>
      </w:r>
      <w:r>
        <w:rPr>
          <w:rFonts w:hint="eastAsia" w:ascii="宋体" w:hAnsi="宋体" w:cs="宋体"/>
          <w:sz w:val="24"/>
          <w:szCs w:val="24"/>
        </w:rPr>
        <w:t>0%（权重）</w:t>
      </w:r>
      <w:r>
        <w:rPr>
          <w:rFonts w:hint="eastAsia" w:ascii="宋体" w:hAnsi="宋体" w:cs="宋体"/>
          <w:color w:val="auto"/>
          <w:sz w:val="24"/>
          <w:szCs w:val="24"/>
        </w:rPr>
        <w:t>，即：</w:t>
      </w:r>
      <w:r>
        <w:rPr>
          <w:rFonts w:hint="eastAsia" w:ascii="宋体" w:hAnsi="宋体" w:cs="宋体"/>
          <w:color w:val="auto"/>
          <w:sz w:val="24"/>
          <w:szCs w:val="24"/>
          <w:lang w:val="en-US" w:eastAsia="zh-CN"/>
        </w:rPr>
        <w:t>3</w:t>
      </w:r>
      <w:r>
        <w:rPr>
          <w:rFonts w:hint="eastAsia" w:ascii="宋体" w:hAnsi="宋体" w:cs="宋体"/>
          <w:color w:val="auto"/>
          <w:sz w:val="24"/>
          <w:szCs w:val="24"/>
        </w:rPr>
        <w:t>0分，商务技术分</w:t>
      </w:r>
      <w:r>
        <w:rPr>
          <w:rFonts w:hint="eastAsia" w:ascii="宋体" w:hAnsi="宋体" w:cs="宋体"/>
          <w:color w:val="auto"/>
          <w:sz w:val="24"/>
          <w:szCs w:val="24"/>
          <w:lang w:val="en-US" w:eastAsia="zh-CN"/>
        </w:rPr>
        <w:t>7</w:t>
      </w:r>
      <w:r>
        <w:rPr>
          <w:rFonts w:hint="eastAsia" w:ascii="宋体" w:hAnsi="宋体" w:cs="宋体"/>
          <w:color w:val="auto"/>
          <w:sz w:val="24"/>
          <w:szCs w:val="24"/>
        </w:rPr>
        <w:t>0分。</w:t>
      </w:r>
    </w:p>
    <w:p w14:paraId="066F10A7">
      <w:pPr>
        <w:adjustRightInd w:val="0"/>
        <w:snapToGrid w:val="0"/>
        <w:spacing w:line="460" w:lineRule="exact"/>
        <w:ind w:firstLine="555"/>
        <w:rPr>
          <w:rFonts w:hint="eastAsia" w:ascii="宋体" w:hAnsi="宋体" w:cs="宋体"/>
          <w:sz w:val="24"/>
          <w:szCs w:val="24"/>
        </w:rPr>
      </w:pPr>
      <w:r>
        <w:rPr>
          <w:rFonts w:hint="eastAsia" w:ascii="宋体" w:hAnsi="宋体" w:cs="宋体"/>
          <w:sz w:val="24"/>
          <w:szCs w:val="24"/>
        </w:rPr>
        <w:t>首先由采购人对投标人资格进行审查，然后评标委员会对符合资格的投标人的投标文件进行符合性审查，最后评标委员会对符合性审查合格的投标文件商务、技术部分进行评估，综合比较与评价。待商务技术标评审结束后，进行价格标的开启、评审。投标人商务技术部分和价格部分的合计分值，为该投标人的评标总得分。</w:t>
      </w:r>
    </w:p>
    <w:p w14:paraId="6DDE9648">
      <w:pPr>
        <w:adjustRightInd w:val="0"/>
        <w:snapToGrid w:val="0"/>
        <w:spacing w:line="460" w:lineRule="exact"/>
        <w:ind w:firstLine="555"/>
        <w:rPr>
          <w:rFonts w:hint="eastAsia" w:ascii="宋体" w:hAnsi="宋体" w:cs="宋体"/>
          <w:sz w:val="24"/>
          <w:szCs w:val="24"/>
        </w:rPr>
      </w:pPr>
      <w:r>
        <w:rPr>
          <w:rFonts w:hint="eastAsia" w:ascii="宋体" w:hAnsi="宋体" w:cs="宋体"/>
          <w:sz w:val="24"/>
          <w:szCs w:val="24"/>
        </w:rPr>
        <w:t>评标结果按评审后得分由高到低顺序排列。得分相同的，按投标报价由低到高顺序排列。得分且投标报价相同的，按照保安服务方案的优劣顺序推荐。投标文件满足招标文件全部实质性要求，且按照评审因素的量化指标评审得分前三名的投标人为中标候选人。</w:t>
      </w:r>
    </w:p>
    <w:p w14:paraId="0F382A2A">
      <w:pPr>
        <w:adjustRightInd w:val="0"/>
        <w:snapToGrid w:val="0"/>
        <w:spacing w:line="460" w:lineRule="exact"/>
        <w:ind w:firstLine="555"/>
        <w:rPr>
          <w:rFonts w:hint="eastAsia" w:ascii="宋体" w:hAnsi="宋体" w:cs="宋体"/>
          <w:color w:val="auto"/>
          <w:sz w:val="24"/>
          <w:szCs w:val="24"/>
        </w:rPr>
      </w:pPr>
      <w:r>
        <w:rPr>
          <w:rFonts w:hint="eastAsia" w:ascii="宋体" w:hAnsi="宋体" w:cs="宋体"/>
          <w:color w:val="auto"/>
          <w:sz w:val="24"/>
          <w:szCs w:val="24"/>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供应商递补，以此类推。中标候选人有涉及对标书实质性内容的隐瞒、欺诈或违法违规行为，将被取消中标资格。</w:t>
      </w:r>
    </w:p>
    <w:p w14:paraId="78B65735">
      <w:pPr>
        <w:adjustRightInd w:val="0"/>
        <w:snapToGrid w:val="0"/>
        <w:spacing w:line="460" w:lineRule="exact"/>
        <w:ind w:firstLine="555"/>
        <w:rPr>
          <w:rFonts w:hint="eastAsia" w:ascii="宋体" w:hAnsi="宋体" w:cs="宋体"/>
          <w:b/>
          <w:bCs/>
          <w:sz w:val="24"/>
          <w:szCs w:val="24"/>
        </w:rPr>
      </w:pPr>
      <w:r>
        <w:rPr>
          <w:rFonts w:hint="eastAsia" w:ascii="宋体" w:hAnsi="宋体" w:cs="宋体"/>
          <w:sz w:val="24"/>
          <w:szCs w:val="24"/>
        </w:rPr>
        <w:t>评委在认真审阅投标文件的基础上，根据各投标文件的响应程度独立评判，不得统一打分。</w:t>
      </w:r>
    </w:p>
    <w:p w14:paraId="063C972D">
      <w:pPr>
        <w:adjustRightInd w:val="0"/>
        <w:snapToGrid w:val="0"/>
        <w:spacing w:line="460" w:lineRule="exact"/>
        <w:ind w:firstLine="555"/>
        <w:rPr>
          <w:rFonts w:hint="eastAsia" w:ascii="宋体" w:hAnsi="宋体" w:cs="宋体"/>
          <w:b/>
          <w:bCs/>
          <w:sz w:val="24"/>
          <w:szCs w:val="24"/>
        </w:rPr>
      </w:pPr>
      <w:r>
        <w:rPr>
          <w:rFonts w:hint="eastAsia" w:ascii="宋体" w:hAnsi="宋体" w:cs="宋体"/>
          <w:b/>
          <w:bCs/>
          <w:sz w:val="24"/>
          <w:szCs w:val="24"/>
        </w:rPr>
        <w:t>（一）采购人（代表）对投标人资格进行审查。</w:t>
      </w:r>
    </w:p>
    <w:p w14:paraId="5D8043D5">
      <w:pPr>
        <w:adjustRightInd w:val="0"/>
        <w:snapToGrid w:val="0"/>
        <w:spacing w:line="460" w:lineRule="exact"/>
        <w:ind w:firstLine="555"/>
        <w:rPr>
          <w:rFonts w:hint="eastAsia" w:ascii="宋体" w:hAnsi="宋体" w:cs="宋体"/>
          <w:b/>
          <w:bCs/>
          <w:sz w:val="24"/>
          <w:szCs w:val="24"/>
        </w:rPr>
      </w:pPr>
      <w:r>
        <w:rPr>
          <w:rFonts w:hint="eastAsia" w:ascii="宋体" w:hAnsi="宋体" w:cs="宋体"/>
          <w:sz w:val="24"/>
          <w:szCs w:val="24"/>
        </w:rPr>
        <w:t>投标人资格不合格的，其投标文件判定为无效投标文件。</w:t>
      </w:r>
    </w:p>
    <w:p w14:paraId="1CB71BD9">
      <w:pPr>
        <w:adjustRightInd w:val="0"/>
        <w:snapToGrid w:val="0"/>
        <w:spacing w:line="460" w:lineRule="exact"/>
        <w:ind w:firstLine="555"/>
        <w:rPr>
          <w:rFonts w:hint="eastAsia" w:ascii="宋体" w:hAnsi="宋体" w:cs="宋体"/>
          <w:b/>
          <w:bCs/>
          <w:sz w:val="24"/>
          <w:szCs w:val="24"/>
        </w:rPr>
      </w:pPr>
      <w:r>
        <w:rPr>
          <w:rFonts w:hint="eastAsia" w:ascii="宋体" w:hAnsi="宋体" w:cs="宋体"/>
          <w:b/>
          <w:bCs/>
          <w:sz w:val="24"/>
          <w:szCs w:val="24"/>
        </w:rPr>
        <w:t>（二）评标委员会对符合资格投标人的投标文件进行符合性审查。</w:t>
      </w:r>
    </w:p>
    <w:p w14:paraId="37B402AA">
      <w:pPr>
        <w:adjustRightInd w:val="0"/>
        <w:snapToGrid w:val="0"/>
        <w:spacing w:line="460" w:lineRule="exact"/>
        <w:ind w:firstLine="555"/>
        <w:rPr>
          <w:rFonts w:hint="eastAsia" w:ascii="宋体" w:hAnsi="宋体" w:cs="宋体"/>
          <w:sz w:val="24"/>
          <w:szCs w:val="24"/>
        </w:rPr>
      </w:pPr>
      <w:r>
        <w:rPr>
          <w:rFonts w:hint="eastAsia" w:ascii="宋体" w:hAnsi="宋体" w:cs="宋体"/>
          <w:sz w:val="24"/>
          <w:szCs w:val="24"/>
        </w:rPr>
        <w:t xml:space="preserve">未通过符合性审查的投标文件，将被判为不满足招标文件实质性要求。 </w:t>
      </w:r>
    </w:p>
    <w:p w14:paraId="0FD6FB64">
      <w:pPr>
        <w:adjustRightInd w:val="0"/>
        <w:snapToGrid w:val="0"/>
        <w:spacing w:line="460" w:lineRule="exact"/>
        <w:ind w:firstLine="555"/>
        <w:rPr>
          <w:rFonts w:hint="eastAsia" w:ascii="宋体" w:hAnsi="宋体" w:cs="宋体"/>
          <w:b/>
          <w:bCs/>
          <w:sz w:val="24"/>
          <w:szCs w:val="24"/>
        </w:rPr>
      </w:pPr>
      <w:r>
        <w:rPr>
          <w:rFonts w:hint="eastAsia" w:ascii="宋体" w:hAnsi="宋体" w:cs="宋体"/>
          <w:b/>
          <w:bCs/>
          <w:sz w:val="24"/>
          <w:szCs w:val="24"/>
        </w:rPr>
        <w:t>（三）商务技术分：</w:t>
      </w:r>
      <w:r>
        <w:rPr>
          <w:rFonts w:hint="eastAsia" w:cs="宋体"/>
          <w:b/>
          <w:bCs/>
          <w:sz w:val="24"/>
          <w:szCs w:val="24"/>
        </w:rPr>
        <w:t>70</w:t>
      </w:r>
      <w:r>
        <w:rPr>
          <w:rFonts w:hint="eastAsia" w:ascii="宋体" w:hAnsi="宋体" w:cs="宋体"/>
          <w:b/>
          <w:bCs/>
          <w:sz w:val="24"/>
          <w:szCs w:val="24"/>
        </w:rPr>
        <w:t>分</w:t>
      </w:r>
    </w:p>
    <w:p w14:paraId="4576F7AE">
      <w:pPr>
        <w:adjustRightInd w:val="0"/>
        <w:snapToGrid w:val="0"/>
        <w:spacing w:line="460" w:lineRule="exact"/>
        <w:ind w:firstLine="555"/>
        <w:rPr>
          <w:rFonts w:hint="eastAsia" w:ascii="宋体" w:hAnsi="宋体" w:cs="宋体"/>
          <w:b/>
          <w:bCs/>
          <w:sz w:val="24"/>
          <w:szCs w:val="24"/>
        </w:rPr>
      </w:pPr>
      <w:r>
        <w:rPr>
          <w:rFonts w:hint="eastAsia" w:ascii="宋体" w:hAnsi="宋体" w:cs="宋体"/>
          <w:b/>
          <w:bCs/>
          <w:sz w:val="24"/>
          <w:szCs w:val="24"/>
        </w:rPr>
        <w:t>商务技术分是所有评委评分的算术平均值，分值保留小数点后两位。</w:t>
      </w:r>
    </w:p>
    <w:p w14:paraId="7774A5BD">
      <w:pPr>
        <w:adjustRightInd w:val="0"/>
        <w:snapToGrid w:val="0"/>
        <w:spacing w:line="400" w:lineRule="exact"/>
        <w:ind w:firstLine="555"/>
        <w:rPr>
          <w:rFonts w:hint="eastAsia" w:ascii="宋体" w:hAnsi="宋体" w:cs="宋体"/>
          <w:b/>
          <w:bCs/>
          <w:sz w:val="24"/>
          <w:szCs w:val="24"/>
        </w:rPr>
      </w:pPr>
      <w:r>
        <w:rPr>
          <w:rFonts w:hint="eastAsia" w:ascii="宋体" w:hAnsi="宋体" w:cs="宋体"/>
          <w:b/>
          <w:bCs/>
          <w:sz w:val="24"/>
          <w:szCs w:val="24"/>
        </w:rPr>
        <w:t>评分标准如下：</w:t>
      </w:r>
    </w:p>
    <w:tbl>
      <w:tblPr>
        <w:tblStyle w:val="27"/>
        <w:tblW w:w="52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2282"/>
        <w:gridCol w:w="6840"/>
      </w:tblGrid>
      <w:tr w14:paraId="7017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1" w:type="pct"/>
            <w:vAlign w:val="center"/>
          </w:tcPr>
          <w:p w14:paraId="51074DAD">
            <w:pPr>
              <w:autoSpaceDE w:val="0"/>
              <w:autoSpaceDN w:val="0"/>
              <w:spacing w:after="120" w:afterLines="50" w:line="400" w:lineRule="exact"/>
              <w:jc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1145" w:type="pct"/>
            <w:vAlign w:val="center"/>
          </w:tcPr>
          <w:p w14:paraId="203BD62B">
            <w:pPr>
              <w:autoSpaceDE w:val="0"/>
              <w:autoSpaceDN w:val="0"/>
              <w:spacing w:after="120" w:afterLines="50" w:line="400" w:lineRule="exact"/>
              <w:jc w:val="center"/>
              <w:rPr>
                <w:rFonts w:hint="eastAsia" w:ascii="宋体" w:hAnsi="宋体" w:cs="宋体"/>
                <w:b/>
                <w:bCs/>
                <w:kern w:val="0"/>
                <w:sz w:val="24"/>
                <w:szCs w:val="24"/>
              </w:rPr>
            </w:pPr>
            <w:r>
              <w:rPr>
                <w:rFonts w:hint="eastAsia" w:ascii="宋体" w:hAnsi="宋体" w:cs="宋体"/>
                <w:b/>
                <w:bCs/>
                <w:kern w:val="0"/>
                <w:sz w:val="24"/>
                <w:szCs w:val="24"/>
              </w:rPr>
              <w:t>评审项目及分值</w:t>
            </w:r>
          </w:p>
        </w:tc>
        <w:tc>
          <w:tcPr>
            <w:tcW w:w="3432" w:type="pct"/>
            <w:vAlign w:val="center"/>
          </w:tcPr>
          <w:p w14:paraId="3293EDD0">
            <w:pPr>
              <w:autoSpaceDE w:val="0"/>
              <w:autoSpaceDN w:val="0"/>
              <w:spacing w:after="120" w:afterLines="50" w:line="400" w:lineRule="exact"/>
              <w:jc w:val="center"/>
              <w:rPr>
                <w:rFonts w:hint="eastAsia" w:ascii="宋体" w:hAnsi="宋体" w:cs="宋体"/>
                <w:b/>
                <w:bCs/>
                <w:kern w:val="0"/>
                <w:sz w:val="24"/>
                <w:szCs w:val="24"/>
              </w:rPr>
            </w:pPr>
            <w:r>
              <w:rPr>
                <w:rFonts w:hint="eastAsia" w:ascii="宋体" w:hAnsi="宋体" w:cs="宋体"/>
                <w:b/>
                <w:bCs/>
                <w:kern w:val="0"/>
                <w:sz w:val="24"/>
                <w:szCs w:val="24"/>
              </w:rPr>
              <w:t>评分标准</w:t>
            </w:r>
          </w:p>
        </w:tc>
      </w:tr>
      <w:tr w14:paraId="5CC8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jc w:val="center"/>
        </w:trPr>
        <w:tc>
          <w:tcPr>
            <w:tcW w:w="421" w:type="pct"/>
            <w:vAlign w:val="center"/>
          </w:tcPr>
          <w:p w14:paraId="409776DE">
            <w:pPr>
              <w:autoSpaceDE w:val="0"/>
              <w:autoSpaceDN w:val="0"/>
              <w:spacing w:after="120" w:afterLines="50" w:line="400" w:lineRule="exact"/>
              <w:jc w:val="center"/>
              <w:rPr>
                <w:rFonts w:hint="eastAsia" w:ascii="宋体" w:hAnsi="宋体" w:cs="宋体"/>
                <w:b/>
                <w:bCs/>
                <w:sz w:val="24"/>
                <w:szCs w:val="24"/>
              </w:rPr>
            </w:pPr>
            <w:r>
              <w:rPr>
                <w:rFonts w:hint="eastAsia" w:ascii="宋体" w:hAnsi="宋体" w:cs="宋体"/>
                <w:b/>
                <w:bCs/>
                <w:sz w:val="24"/>
                <w:szCs w:val="24"/>
              </w:rPr>
              <w:t>1</w:t>
            </w:r>
          </w:p>
        </w:tc>
        <w:tc>
          <w:tcPr>
            <w:tcW w:w="1145" w:type="pct"/>
            <w:vAlign w:val="center"/>
          </w:tcPr>
          <w:p w14:paraId="1B79C94C">
            <w:pPr>
              <w:autoSpaceDE w:val="0"/>
              <w:autoSpaceDN w:val="0"/>
              <w:spacing w:after="120" w:afterLines="50" w:line="400" w:lineRule="exact"/>
              <w:jc w:val="center"/>
              <w:rPr>
                <w:rFonts w:hint="eastAsia" w:ascii="宋体" w:hAnsi="宋体" w:cs="宋体"/>
                <w:b/>
                <w:bCs/>
                <w:sz w:val="24"/>
                <w:szCs w:val="24"/>
              </w:rPr>
            </w:pPr>
            <w:r>
              <w:rPr>
                <w:rFonts w:hint="eastAsia" w:ascii="宋体" w:hAnsi="宋体" w:cs="宋体"/>
                <w:b/>
                <w:bCs/>
                <w:sz w:val="24"/>
                <w:szCs w:val="24"/>
              </w:rPr>
              <w:t>保安服务方案</w:t>
            </w:r>
          </w:p>
          <w:p w14:paraId="0DB80016">
            <w:pPr>
              <w:autoSpaceDE w:val="0"/>
              <w:autoSpaceDN w:val="0"/>
              <w:spacing w:after="120" w:afterLines="50" w:line="400" w:lineRule="exact"/>
              <w:jc w:val="center"/>
              <w:rPr>
                <w:rFonts w:hint="eastAsia" w:ascii="宋体" w:hAnsi="宋体" w:cs="宋体"/>
                <w:b/>
                <w:bCs/>
                <w:kern w:val="0"/>
                <w:sz w:val="24"/>
                <w:szCs w:val="24"/>
              </w:rPr>
            </w:pPr>
            <w:r>
              <w:rPr>
                <w:rFonts w:hint="eastAsia" w:ascii="宋体" w:hAnsi="宋体" w:cs="宋体"/>
                <w:b/>
                <w:bCs/>
                <w:sz w:val="24"/>
                <w:szCs w:val="24"/>
              </w:rPr>
              <w:t>（</w:t>
            </w:r>
            <w:r>
              <w:rPr>
                <w:rFonts w:hint="eastAsia" w:ascii="宋体" w:hAnsi="宋体" w:cs="宋体"/>
                <w:b/>
                <w:bCs/>
                <w:sz w:val="24"/>
                <w:szCs w:val="24"/>
                <w:lang w:val="en-US" w:eastAsia="zh-CN"/>
              </w:rPr>
              <w:t>32</w:t>
            </w:r>
            <w:r>
              <w:rPr>
                <w:rFonts w:hint="eastAsia" w:ascii="宋体" w:hAnsi="宋体" w:cs="宋体"/>
                <w:b/>
                <w:bCs/>
                <w:sz w:val="24"/>
                <w:szCs w:val="24"/>
              </w:rPr>
              <w:t>分）</w:t>
            </w:r>
          </w:p>
        </w:tc>
        <w:tc>
          <w:tcPr>
            <w:tcW w:w="3432" w:type="pct"/>
            <w:vAlign w:val="center"/>
          </w:tcPr>
          <w:p w14:paraId="66E812DF">
            <w:pPr>
              <w:spacing w:line="400" w:lineRule="exact"/>
              <w:rPr>
                <w:rFonts w:hint="eastAsia" w:ascii="宋体" w:hAnsi="宋体" w:cs="宋体"/>
                <w:color w:val="auto"/>
                <w:sz w:val="24"/>
                <w:szCs w:val="24"/>
              </w:rPr>
            </w:pPr>
            <w:r>
              <w:rPr>
                <w:rFonts w:hint="eastAsia" w:ascii="宋体" w:hAnsi="宋体" w:cs="宋体"/>
                <w:color w:val="auto"/>
                <w:sz w:val="24"/>
                <w:szCs w:val="24"/>
              </w:rPr>
              <w:t>（1）项目认知及管理理念（包含服务理念、服务定位、服务目标等 ）</w:t>
            </w:r>
            <w:r>
              <w:rPr>
                <w:rFonts w:hint="eastAsia" w:ascii="宋体" w:hAnsi="宋体" w:cs="宋体"/>
                <w:color w:val="auto"/>
                <w:sz w:val="24"/>
                <w:szCs w:val="24"/>
                <w:lang w:val="en-US" w:eastAsia="zh-CN"/>
              </w:rPr>
              <w:t>进行综合评分：</w:t>
            </w:r>
            <w:r>
              <w:rPr>
                <w:rFonts w:hint="eastAsia" w:ascii="宋体" w:hAnsi="宋体" w:cs="宋体"/>
                <w:color w:val="auto"/>
                <w:sz w:val="24"/>
                <w:szCs w:val="24"/>
              </w:rPr>
              <w:t>项目认知及管理理念非常充分、全面</w:t>
            </w:r>
            <w:r>
              <w:rPr>
                <w:rFonts w:hint="eastAsia" w:ascii="宋体" w:hAnsi="宋体" w:cs="宋体"/>
                <w:color w:val="auto"/>
                <w:sz w:val="24"/>
                <w:szCs w:val="24"/>
                <w:lang w:val="en-US" w:eastAsia="zh-CN"/>
              </w:rPr>
              <w:t>的</w:t>
            </w:r>
            <w:r>
              <w:rPr>
                <w:rFonts w:hint="eastAsia" w:ascii="宋体" w:hAnsi="宋体" w:cs="宋体"/>
                <w:color w:val="auto"/>
                <w:sz w:val="24"/>
                <w:szCs w:val="24"/>
              </w:rPr>
              <w:t>得</w:t>
            </w:r>
            <w:r>
              <w:rPr>
                <w:rFonts w:hint="eastAsia" w:ascii="宋体" w:hAnsi="宋体" w:cs="宋体"/>
                <w:color w:val="auto"/>
                <w:sz w:val="24"/>
                <w:szCs w:val="24"/>
                <w:lang w:val="en-US" w:eastAsia="zh-CN"/>
              </w:rPr>
              <w:t>6</w:t>
            </w:r>
            <w:r>
              <w:rPr>
                <w:rFonts w:hint="eastAsia" w:ascii="宋体" w:hAnsi="宋体" w:cs="宋体"/>
                <w:color w:val="auto"/>
                <w:sz w:val="24"/>
                <w:szCs w:val="24"/>
              </w:rPr>
              <w:t>分；项目认知及管理理念较充分、全面</w:t>
            </w:r>
            <w:r>
              <w:rPr>
                <w:rFonts w:hint="eastAsia" w:ascii="宋体" w:hAnsi="宋体" w:cs="宋体"/>
                <w:color w:val="auto"/>
                <w:sz w:val="24"/>
                <w:szCs w:val="24"/>
                <w:lang w:val="en-US" w:eastAsia="zh-CN"/>
              </w:rPr>
              <w:t>的</w:t>
            </w:r>
            <w:r>
              <w:rPr>
                <w:rFonts w:hint="eastAsia" w:ascii="宋体" w:hAnsi="宋体" w:cs="宋体"/>
                <w:color w:val="auto"/>
                <w:sz w:val="24"/>
                <w:szCs w:val="24"/>
              </w:rPr>
              <w:t>得3分；项目认知及管理理念不太充分、全面</w:t>
            </w:r>
            <w:r>
              <w:rPr>
                <w:rFonts w:hint="eastAsia" w:ascii="宋体" w:hAnsi="宋体" w:cs="宋体"/>
                <w:color w:val="auto"/>
                <w:sz w:val="24"/>
                <w:szCs w:val="24"/>
                <w:lang w:val="en-US" w:eastAsia="zh-CN"/>
              </w:rPr>
              <w:t>的</w:t>
            </w:r>
            <w:r>
              <w:rPr>
                <w:rFonts w:hint="eastAsia" w:ascii="宋体" w:hAnsi="宋体" w:cs="宋体"/>
                <w:color w:val="auto"/>
                <w:sz w:val="24"/>
                <w:szCs w:val="24"/>
              </w:rPr>
              <w:t xml:space="preserve">得1分；不提供不得分。 </w:t>
            </w:r>
          </w:p>
          <w:p w14:paraId="7028EEC4">
            <w:pPr>
              <w:spacing w:line="400" w:lineRule="exact"/>
              <w:rPr>
                <w:rFonts w:hint="eastAsia" w:ascii="宋体" w:hAnsi="宋体" w:cs="宋体"/>
                <w:color w:val="auto"/>
                <w:sz w:val="24"/>
                <w:szCs w:val="24"/>
              </w:rPr>
            </w:pPr>
            <w:r>
              <w:rPr>
                <w:rFonts w:hint="eastAsia" w:ascii="宋体" w:hAnsi="宋体" w:cs="宋体"/>
                <w:color w:val="auto"/>
                <w:sz w:val="24"/>
                <w:szCs w:val="24"/>
              </w:rPr>
              <w:t>（2）组织及人员管理（组织架构合理，人员配置满足招标文件要求，有合理的培训方案）</w:t>
            </w:r>
            <w:r>
              <w:rPr>
                <w:rFonts w:hint="eastAsia" w:ascii="宋体" w:hAnsi="宋体" w:cs="宋体"/>
                <w:color w:val="auto"/>
                <w:sz w:val="24"/>
                <w:szCs w:val="24"/>
                <w:lang w:val="en-US" w:eastAsia="zh-CN"/>
              </w:rPr>
              <w:t>进行综合评分：</w:t>
            </w:r>
            <w:r>
              <w:rPr>
                <w:rFonts w:hint="eastAsia" w:ascii="宋体" w:hAnsi="宋体" w:cs="宋体"/>
                <w:color w:val="auto"/>
                <w:sz w:val="24"/>
                <w:szCs w:val="24"/>
              </w:rPr>
              <w:t>方案科学性、合理性强</w:t>
            </w:r>
            <w:r>
              <w:rPr>
                <w:rFonts w:hint="eastAsia" w:ascii="宋体" w:hAnsi="宋体" w:cs="宋体"/>
                <w:color w:val="auto"/>
                <w:sz w:val="24"/>
                <w:szCs w:val="24"/>
                <w:lang w:val="en-US" w:eastAsia="zh-CN"/>
              </w:rPr>
              <w:t>的</w:t>
            </w:r>
            <w:r>
              <w:rPr>
                <w:rFonts w:hint="eastAsia" w:ascii="宋体" w:hAnsi="宋体" w:cs="宋体"/>
                <w:color w:val="auto"/>
                <w:sz w:val="24"/>
                <w:szCs w:val="24"/>
              </w:rPr>
              <w:t>得</w:t>
            </w:r>
            <w:r>
              <w:rPr>
                <w:rFonts w:hint="eastAsia" w:ascii="宋体" w:hAnsi="宋体" w:cs="宋体"/>
                <w:color w:val="auto"/>
                <w:sz w:val="24"/>
                <w:szCs w:val="24"/>
                <w:lang w:val="en-US" w:eastAsia="zh-CN"/>
              </w:rPr>
              <w:t>6</w:t>
            </w:r>
            <w:r>
              <w:rPr>
                <w:rFonts w:hint="eastAsia" w:ascii="宋体" w:hAnsi="宋体" w:cs="宋体"/>
                <w:color w:val="auto"/>
                <w:sz w:val="24"/>
                <w:szCs w:val="24"/>
              </w:rPr>
              <w:t>分；方案科学性、合理性较强</w:t>
            </w:r>
            <w:r>
              <w:rPr>
                <w:rFonts w:hint="eastAsia" w:ascii="宋体" w:hAnsi="宋体" w:cs="宋体"/>
                <w:color w:val="auto"/>
                <w:sz w:val="24"/>
                <w:szCs w:val="24"/>
                <w:lang w:val="en-US" w:eastAsia="zh-CN"/>
              </w:rPr>
              <w:t>的</w:t>
            </w:r>
            <w:r>
              <w:rPr>
                <w:rFonts w:hint="eastAsia" w:ascii="宋体" w:hAnsi="宋体" w:cs="宋体"/>
                <w:color w:val="auto"/>
                <w:sz w:val="24"/>
                <w:szCs w:val="24"/>
              </w:rPr>
              <w:t>得3分；方案科学性、合理性一般</w:t>
            </w:r>
            <w:r>
              <w:rPr>
                <w:rFonts w:hint="eastAsia" w:ascii="宋体" w:hAnsi="宋体" w:cs="宋体"/>
                <w:color w:val="auto"/>
                <w:sz w:val="24"/>
                <w:szCs w:val="24"/>
                <w:lang w:val="en-US" w:eastAsia="zh-CN"/>
              </w:rPr>
              <w:t>的</w:t>
            </w:r>
            <w:r>
              <w:rPr>
                <w:rFonts w:hint="eastAsia" w:ascii="宋体" w:hAnsi="宋体" w:cs="宋体"/>
                <w:color w:val="auto"/>
                <w:sz w:val="24"/>
                <w:szCs w:val="24"/>
              </w:rPr>
              <w:t>得1分；不提供不得分。</w:t>
            </w:r>
          </w:p>
          <w:p w14:paraId="6D5CDBC6">
            <w:pPr>
              <w:spacing w:line="400" w:lineRule="exact"/>
              <w:rPr>
                <w:rFonts w:hint="eastAsia" w:ascii="宋体" w:hAnsi="宋体" w:cs="宋体"/>
                <w:color w:val="auto"/>
                <w:sz w:val="24"/>
                <w:szCs w:val="24"/>
              </w:rPr>
            </w:pPr>
            <w:r>
              <w:rPr>
                <w:rFonts w:hint="eastAsia" w:ascii="宋体" w:hAnsi="宋体" w:cs="宋体"/>
                <w:color w:val="auto"/>
                <w:sz w:val="24"/>
                <w:szCs w:val="24"/>
              </w:rPr>
              <w:t>（3）管理规章制度（包含日常管理制度、考核制度等）</w:t>
            </w:r>
            <w:r>
              <w:rPr>
                <w:rFonts w:hint="eastAsia" w:ascii="宋体" w:hAnsi="宋体" w:cs="宋体"/>
                <w:color w:val="auto"/>
                <w:sz w:val="24"/>
                <w:szCs w:val="24"/>
                <w:lang w:val="en-US" w:eastAsia="zh-CN"/>
              </w:rPr>
              <w:t>完整</w:t>
            </w:r>
            <w:r>
              <w:rPr>
                <w:rFonts w:hint="eastAsia" w:ascii="宋体" w:hAnsi="宋体" w:cs="宋体"/>
                <w:color w:val="auto"/>
                <w:sz w:val="24"/>
                <w:szCs w:val="24"/>
              </w:rPr>
              <w:t>齐全</w:t>
            </w:r>
            <w:r>
              <w:rPr>
                <w:rFonts w:hint="eastAsia" w:ascii="宋体" w:hAnsi="宋体" w:cs="宋体"/>
                <w:color w:val="auto"/>
                <w:sz w:val="24"/>
                <w:szCs w:val="24"/>
                <w:lang w:val="en-US" w:eastAsia="zh-CN"/>
              </w:rPr>
              <w:t>的</w:t>
            </w:r>
            <w:r>
              <w:rPr>
                <w:rFonts w:hint="eastAsia" w:ascii="宋体" w:hAnsi="宋体" w:cs="宋体"/>
                <w:color w:val="auto"/>
                <w:sz w:val="24"/>
                <w:szCs w:val="24"/>
              </w:rPr>
              <w:t>得</w:t>
            </w:r>
            <w:r>
              <w:rPr>
                <w:rFonts w:hint="eastAsia" w:ascii="宋体" w:hAnsi="宋体" w:cs="宋体"/>
                <w:color w:val="auto"/>
                <w:sz w:val="24"/>
                <w:szCs w:val="24"/>
                <w:lang w:val="en-US" w:eastAsia="zh-CN"/>
              </w:rPr>
              <w:t>6</w:t>
            </w:r>
            <w:r>
              <w:rPr>
                <w:rFonts w:hint="eastAsia" w:ascii="宋体" w:hAnsi="宋体" w:cs="宋体"/>
                <w:color w:val="auto"/>
                <w:sz w:val="24"/>
                <w:szCs w:val="24"/>
              </w:rPr>
              <w:t>分；管理规章制度（包含日常管理制度、考核制度等）</w:t>
            </w:r>
            <w:r>
              <w:rPr>
                <w:rFonts w:hint="eastAsia" w:ascii="宋体" w:hAnsi="宋体" w:cs="宋体"/>
                <w:color w:val="auto"/>
                <w:sz w:val="24"/>
                <w:szCs w:val="24"/>
                <w:lang w:val="en-US" w:eastAsia="zh-CN"/>
              </w:rPr>
              <w:t>较完整</w:t>
            </w:r>
            <w:r>
              <w:rPr>
                <w:rFonts w:hint="eastAsia" w:ascii="宋体" w:hAnsi="宋体" w:cs="宋体"/>
                <w:color w:val="auto"/>
                <w:sz w:val="24"/>
                <w:szCs w:val="24"/>
              </w:rPr>
              <w:t>齐全</w:t>
            </w:r>
            <w:r>
              <w:rPr>
                <w:rFonts w:hint="eastAsia" w:ascii="宋体" w:hAnsi="宋体" w:cs="宋体"/>
                <w:color w:val="auto"/>
                <w:sz w:val="24"/>
                <w:szCs w:val="24"/>
                <w:lang w:val="en-US" w:eastAsia="zh-CN"/>
              </w:rPr>
              <w:t>的</w:t>
            </w:r>
            <w:r>
              <w:rPr>
                <w:rFonts w:hint="eastAsia" w:ascii="宋体" w:hAnsi="宋体" w:cs="宋体"/>
                <w:color w:val="auto"/>
                <w:sz w:val="24"/>
                <w:szCs w:val="24"/>
              </w:rPr>
              <w:t>得3分；管理规章制度（包含日常管理制度、考核制度等）</w:t>
            </w:r>
            <w:r>
              <w:rPr>
                <w:rFonts w:hint="eastAsia" w:ascii="宋体" w:hAnsi="宋体" w:cs="宋体"/>
                <w:color w:val="auto"/>
                <w:sz w:val="24"/>
                <w:szCs w:val="24"/>
                <w:lang w:val="en-US" w:eastAsia="zh-CN"/>
              </w:rPr>
              <w:t>完整</w:t>
            </w:r>
            <w:r>
              <w:rPr>
                <w:rFonts w:hint="eastAsia" w:ascii="宋体" w:hAnsi="宋体" w:cs="宋体"/>
                <w:color w:val="auto"/>
                <w:sz w:val="24"/>
                <w:szCs w:val="24"/>
              </w:rPr>
              <w:t>齐全</w:t>
            </w:r>
            <w:r>
              <w:rPr>
                <w:rFonts w:hint="eastAsia" w:ascii="宋体" w:hAnsi="宋体" w:cs="宋体"/>
                <w:color w:val="auto"/>
                <w:sz w:val="24"/>
                <w:szCs w:val="24"/>
                <w:lang w:val="en-US" w:eastAsia="zh-CN"/>
              </w:rPr>
              <w:t>一般的</w:t>
            </w:r>
            <w:r>
              <w:rPr>
                <w:rFonts w:hint="eastAsia" w:ascii="宋体" w:hAnsi="宋体" w:cs="宋体"/>
                <w:color w:val="auto"/>
                <w:sz w:val="24"/>
                <w:szCs w:val="24"/>
              </w:rPr>
              <w:t>得1分；不提供不得分。</w:t>
            </w:r>
          </w:p>
          <w:p w14:paraId="1E681D76">
            <w:pPr>
              <w:spacing w:line="400" w:lineRule="exact"/>
              <w:rPr>
                <w:rFonts w:hint="eastAsia" w:ascii="宋体" w:hAnsi="宋体" w:cs="宋体"/>
                <w:color w:val="auto"/>
                <w:sz w:val="24"/>
                <w:szCs w:val="24"/>
              </w:rPr>
            </w:pPr>
            <w:r>
              <w:rPr>
                <w:rFonts w:hint="eastAsia" w:ascii="宋体" w:hAnsi="宋体" w:cs="宋体"/>
                <w:color w:val="auto"/>
                <w:sz w:val="24"/>
                <w:szCs w:val="24"/>
              </w:rPr>
              <w:t>（4）维稳安全管控工作应急预案（应对维稳安全管控等突发事件的应急预案）合理性</w:t>
            </w:r>
            <w:r>
              <w:rPr>
                <w:rFonts w:hint="eastAsia" w:ascii="宋体" w:hAnsi="宋体" w:cs="宋体"/>
                <w:color w:val="auto"/>
                <w:sz w:val="24"/>
                <w:szCs w:val="24"/>
                <w:lang w:val="en-US" w:eastAsia="zh-CN"/>
              </w:rPr>
              <w:t>可行的</w:t>
            </w:r>
            <w:r>
              <w:rPr>
                <w:rFonts w:hint="eastAsia" w:ascii="宋体" w:hAnsi="宋体" w:cs="宋体"/>
                <w:color w:val="auto"/>
                <w:sz w:val="24"/>
                <w:szCs w:val="24"/>
              </w:rPr>
              <w:t>得</w:t>
            </w:r>
            <w:r>
              <w:rPr>
                <w:rFonts w:hint="eastAsia" w:ascii="宋体" w:hAnsi="宋体" w:cs="宋体"/>
                <w:color w:val="auto"/>
                <w:sz w:val="24"/>
                <w:szCs w:val="24"/>
                <w:lang w:val="en-US" w:eastAsia="zh-CN"/>
              </w:rPr>
              <w:t>6</w:t>
            </w:r>
            <w:r>
              <w:rPr>
                <w:rFonts w:hint="eastAsia" w:ascii="宋体" w:hAnsi="宋体" w:cs="宋体"/>
                <w:color w:val="auto"/>
                <w:sz w:val="24"/>
                <w:szCs w:val="24"/>
              </w:rPr>
              <w:t>分；维稳安全管控工作应急预案（应对维稳安全管控等突发事件的应急预案）</w:t>
            </w:r>
            <w:r>
              <w:rPr>
                <w:rFonts w:hint="eastAsia" w:ascii="宋体" w:hAnsi="宋体" w:cs="宋体"/>
                <w:color w:val="auto"/>
                <w:sz w:val="24"/>
                <w:szCs w:val="24"/>
                <w:lang w:val="en-US" w:eastAsia="zh-CN"/>
              </w:rPr>
              <w:t>较</w:t>
            </w:r>
            <w:r>
              <w:rPr>
                <w:rFonts w:hint="eastAsia" w:ascii="宋体" w:hAnsi="宋体" w:cs="宋体"/>
                <w:color w:val="auto"/>
                <w:sz w:val="24"/>
                <w:szCs w:val="24"/>
              </w:rPr>
              <w:t>合理性</w:t>
            </w:r>
            <w:r>
              <w:rPr>
                <w:rFonts w:hint="eastAsia" w:ascii="宋体" w:hAnsi="宋体" w:cs="宋体"/>
                <w:color w:val="auto"/>
                <w:sz w:val="24"/>
                <w:szCs w:val="24"/>
                <w:lang w:val="en-US" w:eastAsia="zh-CN"/>
              </w:rPr>
              <w:t>可行的</w:t>
            </w:r>
            <w:r>
              <w:rPr>
                <w:rFonts w:hint="eastAsia" w:ascii="宋体" w:hAnsi="宋体" w:cs="宋体"/>
                <w:color w:val="auto"/>
                <w:sz w:val="24"/>
                <w:szCs w:val="24"/>
              </w:rPr>
              <w:t>得3分；维稳安全管控工作应急预案（应对维稳安全管控等突发事件的应急预案）</w:t>
            </w:r>
            <w:r>
              <w:rPr>
                <w:rFonts w:hint="eastAsia" w:ascii="宋体" w:hAnsi="宋体" w:cs="宋体"/>
                <w:color w:val="auto"/>
                <w:sz w:val="24"/>
                <w:szCs w:val="24"/>
                <w:lang w:val="en-US" w:eastAsia="zh-CN"/>
              </w:rPr>
              <w:t>实施性</w:t>
            </w:r>
            <w:r>
              <w:rPr>
                <w:rFonts w:hint="eastAsia" w:ascii="宋体" w:hAnsi="宋体" w:cs="宋体"/>
                <w:color w:val="auto"/>
                <w:sz w:val="24"/>
                <w:szCs w:val="24"/>
              </w:rPr>
              <w:t>一般</w:t>
            </w:r>
            <w:r>
              <w:rPr>
                <w:rFonts w:hint="eastAsia" w:ascii="宋体" w:hAnsi="宋体" w:cs="宋体"/>
                <w:color w:val="auto"/>
                <w:sz w:val="24"/>
                <w:szCs w:val="24"/>
                <w:lang w:val="en-US" w:eastAsia="zh-CN"/>
              </w:rPr>
              <w:t>的</w:t>
            </w:r>
            <w:r>
              <w:rPr>
                <w:rFonts w:hint="eastAsia" w:ascii="宋体" w:hAnsi="宋体" w:cs="宋体"/>
                <w:color w:val="auto"/>
                <w:sz w:val="24"/>
                <w:szCs w:val="24"/>
              </w:rPr>
              <w:t>得1分；不提供不得分。</w:t>
            </w:r>
          </w:p>
          <w:p w14:paraId="1B3F0C50">
            <w:pPr>
              <w:spacing w:line="400" w:lineRule="exact"/>
              <w:rPr>
                <w:rFonts w:hint="eastAsia" w:ascii="宋体" w:hAnsi="宋体" w:cs="宋体"/>
                <w:color w:val="auto"/>
                <w:sz w:val="24"/>
                <w:szCs w:val="24"/>
              </w:rPr>
            </w:pPr>
            <w:r>
              <w:rPr>
                <w:rFonts w:hint="eastAsia" w:ascii="宋体" w:hAnsi="宋体" w:cs="宋体"/>
                <w:color w:val="auto"/>
                <w:sz w:val="24"/>
                <w:szCs w:val="24"/>
              </w:rPr>
              <w:t>（5）治安保卫联网报警服务方案（投标人提供在管运营中的治安保卫联网报警服务平台真实案例及服务方案的，评委对平台建设佐证材料、运营服务经验、方案与措施的合理性、全面性、可行性、针对性酌情给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服务</w:t>
            </w:r>
            <w:r>
              <w:rPr>
                <w:rFonts w:hint="eastAsia" w:ascii="宋体" w:hAnsi="宋体" w:cs="宋体"/>
                <w:color w:val="auto"/>
                <w:sz w:val="24"/>
                <w:szCs w:val="24"/>
              </w:rPr>
              <w:t>方案</w:t>
            </w:r>
            <w:r>
              <w:rPr>
                <w:rFonts w:hint="eastAsia" w:ascii="宋体" w:hAnsi="宋体" w:cs="宋体"/>
                <w:color w:val="auto"/>
                <w:sz w:val="24"/>
                <w:szCs w:val="24"/>
                <w:lang w:val="en-US" w:eastAsia="zh-CN"/>
              </w:rPr>
              <w:t>完整详尽、合理可行的</w:t>
            </w:r>
            <w:r>
              <w:rPr>
                <w:rFonts w:hint="eastAsia" w:ascii="宋体" w:hAnsi="宋体" w:cs="宋体"/>
                <w:color w:val="auto"/>
                <w:sz w:val="24"/>
                <w:szCs w:val="24"/>
              </w:rPr>
              <w:t>得</w:t>
            </w:r>
            <w:r>
              <w:rPr>
                <w:rFonts w:hint="eastAsia" w:ascii="宋体" w:hAnsi="宋体" w:cs="宋体"/>
                <w:color w:val="auto"/>
                <w:sz w:val="24"/>
                <w:szCs w:val="24"/>
                <w:lang w:val="en-US" w:eastAsia="zh-CN"/>
              </w:rPr>
              <w:t>8</w:t>
            </w:r>
            <w:r>
              <w:rPr>
                <w:rFonts w:hint="eastAsia" w:ascii="宋体" w:hAnsi="宋体" w:cs="宋体"/>
                <w:color w:val="auto"/>
                <w:sz w:val="24"/>
                <w:szCs w:val="24"/>
              </w:rPr>
              <w:t>分；</w:t>
            </w:r>
            <w:r>
              <w:rPr>
                <w:rFonts w:hint="eastAsia" w:ascii="宋体" w:hAnsi="宋体" w:cs="宋体"/>
                <w:color w:val="auto"/>
                <w:sz w:val="24"/>
                <w:szCs w:val="24"/>
                <w:lang w:val="en-US" w:eastAsia="zh-CN"/>
              </w:rPr>
              <w:t>服务</w:t>
            </w:r>
            <w:r>
              <w:rPr>
                <w:rFonts w:hint="eastAsia" w:ascii="宋体" w:hAnsi="宋体" w:cs="宋体"/>
                <w:color w:val="auto"/>
                <w:sz w:val="24"/>
                <w:szCs w:val="24"/>
              </w:rPr>
              <w:t>方案</w:t>
            </w:r>
            <w:r>
              <w:rPr>
                <w:rFonts w:hint="eastAsia" w:ascii="宋体" w:hAnsi="宋体" w:cs="宋体"/>
                <w:color w:val="auto"/>
                <w:sz w:val="24"/>
                <w:szCs w:val="24"/>
                <w:lang w:val="en-US" w:eastAsia="zh-CN"/>
              </w:rPr>
              <w:t>较完整详尽、合理可行的</w:t>
            </w:r>
            <w:r>
              <w:rPr>
                <w:rFonts w:hint="eastAsia" w:ascii="宋体" w:hAnsi="宋体" w:cs="宋体"/>
                <w:color w:val="auto"/>
                <w:sz w:val="24"/>
                <w:szCs w:val="24"/>
              </w:rPr>
              <w:t>得</w:t>
            </w:r>
            <w:r>
              <w:rPr>
                <w:rFonts w:hint="eastAsia" w:ascii="宋体" w:hAnsi="宋体" w:cs="宋体"/>
                <w:color w:val="auto"/>
                <w:sz w:val="24"/>
                <w:szCs w:val="24"/>
                <w:lang w:val="en-US" w:eastAsia="zh-CN"/>
              </w:rPr>
              <w:t>5</w:t>
            </w:r>
            <w:r>
              <w:rPr>
                <w:rFonts w:hint="eastAsia" w:ascii="宋体" w:hAnsi="宋体" w:cs="宋体"/>
                <w:color w:val="auto"/>
                <w:sz w:val="24"/>
                <w:szCs w:val="24"/>
              </w:rPr>
              <w:t>分；</w:t>
            </w:r>
            <w:r>
              <w:rPr>
                <w:rFonts w:hint="eastAsia" w:ascii="宋体" w:hAnsi="宋体" w:cs="宋体"/>
                <w:color w:val="auto"/>
                <w:sz w:val="24"/>
                <w:szCs w:val="24"/>
                <w:lang w:val="en-US" w:eastAsia="zh-CN"/>
              </w:rPr>
              <w:t>服务</w:t>
            </w:r>
            <w:r>
              <w:rPr>
                <w:rFonts w:hint="eastAsia" w:ascii="宋体" w:hAnsi="宋体" w:cs="宋体"/>
                <w:color w:val="auto"/>
                <w:sz w:val="24"/>
                <w:szCs w:val="24"/>
              </w:rPr>
              <w:t>方案一般</w:t>
            </w:r>
            <w:r>
              <w:rPr>
                <w:rFonts w:hint="eastAsia" w:ascii="宋体" w:hAnsi="宋体" w:cs="宋体"/>
                <w:color w:val="auto"/>
                <w:sz w:val="24"/>
                <w:szCs w:val="24"/>
                <w:lang w:val="en-US" w:eastAsia="zh-CN"/>
              </w:rPr>
              <w:t>的</w:t>
            </w:r>
            <w:r>
              <w:rPr>
                <w:rFonts w:hint="eastAsia" w:ascii="宋体" w:hAnsi="宋体" w:cs="宋体"/>
                <w:color w:val="auto"/>
                <w:sz w:val="24"/>
                <w:szCs w:val="24"/>
              </w:rPr>
              <w:t>得</w:t>
            </w:r>
            <w:r>
              <w:rPr>
                <w:rFonts w:hint="eastAsia" w:ascii="宋体" w:hAnsi="宋体" w:cs="宋体"/>
                <w:color w:val="auto"/>
                <w:sz w:val="24"/>
                <w:szCs w:val="24"/>
                <w:lang w:val="en-US" w:eastAsia="zh-CN"/>
              </w:rPr>
              <w:t>3</w:t>
            </w:r>
            <w:r>
              <w:rPr>
                <w:rFonts w:hint="eastAsia" w:ascii="宋体" w:hAnsi="宋体" w:cs="宋体"/>
                <w:color w:val="auto"/>
                <w:sz w:val="24"/>
                <w:szCs w:val="24"/>
              </w:rPr>
              <w:t>分；不提供不得分。</w:t>
            </w:r>
          </w:p>
        </w:tc>
      </w:tr>
      <w:tr w14:paraId="3733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21" w:type="pct"/>
            <w:vAlign w:val="center"/>
          </w:tcPr>
          <w:p w14:paraId="05A94CDD">
            <w:pPr>
              <w:autoSpaceDE w:val="0"/>
              <w:autoSpaceDN w:val="0"/>
              <w:spacing w:after="120" w:afterLines="50" w:line="400" w:lineRule="exact"/>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p>
        </w:tc>
        <w:tc>
          <w:tcPr>
            <w:tcW w:w="1145" w:type="pct"/>
            <w:vAlign w:val="center"/>
          </w:tcPr>
          <w:p w14:paraId="4AF66D89">
            <w:pPr>
              <w:autoSpaceDE w:val="0"/>
              <w:autoSpaceDN w:val="0"/>
              <w:spacing w:after="120" w:afterLines="50" w:line="400" w:lineRule="exact"/>
              <w:jc w:val="center"/>
              <w:rPr>
                <w:rFonts w:hint="eastAsia" w:ascii="宋体" w:hAnsi="宋体" w:cs="宋体"/>
                <w:b/>
                <w:bCs/>
                <w:kern w:val="0"/>
                <w:sz w:val="24"/>
                <w:szCs w:val="24"/>
              </w:rPr>
            </w:pPr>
            <w:r>
              <w:rPr>
                <w:rFonts w:hint="eastAsia" w:ascii="宋体" w:hAnsi="宋体" w:cs="宋体"/>
                <w:b/>
                <w:bCs/>
                <w:sz w:val="24"/>
                <w:szCs w:val="24"/>
              </w:rPr>
              <w:t>企业综合实力（</w:t>
            </w:r>
            <w:r>
              <w:rPr>
                <w:rFonts w:hint="eastAsia" w:ascii="宋体" w:hAnsi="宋体" w:cs="宋体"/>
                <w:b/>
                <w:bCs/>
                <w:sz w:val="24"/>
                <w:szCs w:val="24"/>
                <w:lang w:val="en-US" w:eastAsia="zh-CN"/>
              </w:rPr>
              <w:t>9</w:t>
            </w:r>
            <w:r>
              <w:rPr>
                <w:rFonts w:hint="eastAsia" w:ascii="宋体" w:hAnsi="宋体" w:cs="宋体"/>
                <w:b/>
                <w:bCs/>
                <w:sz w:val="24"/>
                <w:szCs w:val="24"/>
              </w:rPr>
              <w:t>分）</w:t>
            </w:r>
          </w:p>
        </w:tc>
        <w:tc>
          <w:tcPr>
            <w:tcW w:w="3432" w:type="pct"/>
            <w:vAlign w:val="center"/>
          </w:tcPr>
          <w:p w14:paraId="6AD503E6">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（1）投标人为一级保安</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公司</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得3分；二级保安</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公司</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得2分；三级保安</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公司</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得1分。本项最高得3分。</w:t>
            </w:r>
          </w:p>
          <w:p w14:paraId="09037450">
            <w:pPr>
              <w:pStyle w:val="9"/>
              <w:spacing w:line="40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注：提供</w:t>
            </w:r>
            <w:r>
              <w:rPr>
                <w:rFonts w:hint="eastAsia" w:ascii="宋体" w:hAnsi="宋体" w:cs="宋体"/>
                <w:b/>
                <w:bCs/>
                <w:color w:val="auto"/>
                <w:sz w:val="24"/>
                <w:szCs w:val="24"/>
                <w:highlight w:val="none"/>
                <w:lang w:val="en-US" w:eastAsia="zh-CN"/>
              </w:rPr>
              <w:t>保安服务公司等级评定证书</w:t>
            </w:r>
            <w:r>
              <w:rPr>
                <w:rFonts w:hint="eastAsia" w:ascii="宋体" w:hAnsi="宋体" w:cs="宋体"/>
                <w:b/>
                <w:bCs/>
                <w:color w:val="auto"/>
                <w:sz w:val="24"/>
                <w:szCs w:val="24"/>
                <w:highlight w:val="none"/>
              </w:rPr>
              <w:t>的复印件或扫描件。</w:t>
            </w:r>
          </w:p>
          <w:p w14:paraId="6491C7F3">
            <w:pPr>
              <w:pStyle w:val="9"/>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（2）投标人同时提供质量管理体系、职业健康管理体系、环境管理体系、保安服务体系认证、社会责任管理体系认证、合规管理体系认证且在有效期内的认证体系证书的，每提供一个得1分，最高得6分。</w:t>
            </w:r>
          </w:p>
          <w:p w14:paraId="18D4CFC7">
            <w:pPr>
              <w:pStyle w:val="9"/>
              <w:spacing w:line="40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rPr>
              <w:t>注：提供以上证书的得印件或扫描件， 同时提供国家认证认可监督管理委员会官方网站的查询截图。未提供不得分。</w:t>
            </w:r>
          </w:p>
        </w:tc>
      </w:tr>
      <w:tr w14:paraId="60C7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421" w:type="pct"/>
            <w:vAlign w:val="center"/>
          </w:tcPr>
          <w:p w14:paraId="5619112D">
            <w:pPr>
              <w:autoSpaceDE w:val="0"/>
              <w:autoSpaceDN w:val="0"/>
              <w:spacing w:after="120" w:afterLines="50" w:line="400" w:lineRule="exact"/>
              <w:jc w:val="center"/>
              <w:rPr>
                <w:rFonts w:hint="eastAsia" w:ascii="宋体" w:hAnsi="宋体" w:cs="宋体"/>
                <w:b/>
                <w:bCs/>
                <w:sz w:val="24"/>
                <w:szCs w:val="24"/>
              </w:rPr>
            </w:pPr>
            <w:r>
              <w:rPr>
                <w:rFonts w:hint="eastAsia" w:ascii="宋体" w:hAnsi="宋体" w:cs="宋体"/>
                <w:b/>
                <w:bCs/>
                <w:sz w:val="24"/>
                <w:szCs w:val="24"/>
              </w:rPr>
              <w:t>3</w:t>
            </w:r>
          </w:p>
        </w:tc>
        <w:tc>
          <w:tcPr>
            <w:tcW w:w="1145" w:type="pct"/>
            <w:vAlign w:val="center"/>
          </w:tcPr>
          <w:p w14:paraId="1AB4DC31">
            <w:pPr>
              <w:autoSpaceDE w:val="0"/>
              <w:autoSpaceDN w:val="0"/>
              <w:spacing w:after="120" w:afterLines="50" w:line="400" w:lineRule="exact"/>
              <w:jc w:val="center"/>
              <w:rPr>
                <w:rFonts w:hint="eastAsia" w:ascii="宋体" w:hAnsi="宋体" w:cs="宋体"/>
                <w:b/>
                <w:bCs/>
                <w:kern w:val="0"/>
                <w:sz w:val="24"/>
                <w:szCs w:val="24"/>
              </w:rPr>
            </w:pPr>
            <w:r>
              <w:rPr>
                <w:rFonts w:hint="eastAsia" w:ascii="宋体" w:hAnsi="宋体" w:cs="宋体"/>
                <w:b/>
                <w:bCs/>
                <w:sz w:val="24"/>
                <w:szCs w:val="24"/>
              </w:rPr>
              <w:t>拟派</w:t>
            </w:r>
            <w:r>
              <w:rPr>
                <w:rFonts w:hint="eastAsia" w:ascii="宋体" w:hAnsi="宋体" w:cs="宋体"/>
                <w:b/>
                <w:bCs/>
                <w:sz w:val="24"/>
                <w:szCs w:val="24"/>
                <w:lang w:val="en-US" w:eastAsia="zh-CN"/>
              </w:rPr>
              <w:t>的安保人员</w:t>
            </w:r>
            <w:r>
              <w:rPr>
                <w:rFonts w:hint="eastAsia" w:ascii="宋体" w:hAnsi="宋体" w:cs="宋体"/>
                <w:b/>
                <w:bCs/>
                <w:sz w:val="24"/>
                <w:szCs w:val="24"/>
              </w:rPr>
              <w:t>实力（</w:t>
            </w:r>
            <w:r>
              <w:rPr>
                <w:rFonts w:hint="eastAsia" w:ascii="宋体" w:hAnsi="宋体" w:cs="宋体"/>
                <w:b/>
                <w:bCs/>
                <w:sz w:val="24"/>
                <w:szCs w:val="24"/>
                <w:lang w:val="en-US" w:eastAsia="zh-CN"/>
              </w:rPr>
              <w:t>8</w:t>
            </w:r>
            <w:r>
              <w:rPr>
                <w:rFonts w:hint="eastAsia" w:ascii="宋体" w:hAnsi="宋体" w:cs="宋体"/>
                <w:b/>
                <w:bCs/>
                <w:sz w:val="24"/>
                <w:szCs w:val="24"/>
              </w:rPr>
              <w:t>分）</w:t>
            </w:r>
          </w:p>
        </w:tc>
        <w:tc>
          <w:tcPr>
            <w:tcW w:w="3432" w:type="pct"/>
            <w:vAlign w:val="center"/>
          </w:tcPr>
          <w:p w14:paraId="27700C68">
            <w:pPr>
              <w:pStyle w:val="9"/>
              <w:spacing w:line="400" w:lineRule="exact"/>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rPr>
              <w:t>投标人拟派的项目负责人持有保安员三级</w:t>
            </w:r>
            <w:r>
              <w:rPr>
                <w:rFonts w:hint="eastAsia" w:ascii="宋体" w:hAnsi="宋体" w:cs="宋体"/>
                <w:color w:val="auto"/>
                <w:sz w:val="24"/>
                <w:szCs w:val="24"/>
                <w:lang w:val="en-US" w:eastAsia="zh-CN"/>
              </w:rPr>
              <w:t>以上（含三级）</w:t>
            </w:r>
            <w:r>
              <w:rPr>
                <w:rFonts w:hint="eastAsia" w:ascii="宋体" w:hAnsi="宋体" w:cs="宋体"/>
                <w:color w:val="auto"/>
                <w:sz w:val="24"/>
                <w:szCs w:val="24"/>
              </w:rPr>
              <w:t>证书红十字会颁发的救护员证，每提供一个得</w:t>
            </w:r>
            <w:r>
              <w:rPr>
                <w:rFonts w:hint="eastAsia" w:ascii="宋体" w:hAnsi="宋体" w:cs="宋体"/>
                <w:color w:val="auto"/>
                <w:sz w:val="24"/>
                <w:szCs w:val="24"/>
                <w:lang w:val="en-US" w:eastAsia="zh-CN"/>
              </w:rPr>
              <w:t>2</w:t>
            </w:r>
            <w:r>
              <w:rPr>
                <w:rFonts w:hint="eastAsia" w:ascii="宋体" w:hAnsi="宋体" w:cs="宋体"/>
                <w:color w:val="auto"/>
                <w:sz w:val="24"/>
                <w:szCs w:val="24"/>
              </w:rPr>
              <w:t>分，本项最高得</w:t>
            </w:r>
            <w:r>
              <w:rPr>
                <w:rFonts w:hint="eastAsia" w:ascii="宋体" w:hAnsi="宋体" w:cs="宋体"/>
                <w:color w:val="auto"/>
                <w:sz w:val="24"/>
                <w:szCs w:val="24"/>
                <w:lang w:val="en-US" w:eastAsia="zh-CN"/>
              </w:rPr>
              <w:t>4</w:t>
            </w:r>
            <w:r>
              <w:rPr>
                <w:rFonts w:hint="eastAsia" w:ascii="宋体" w:hAnsi="宋体" w:cs="宋体"/>
                <w:color w:val="auto"/>
                <w:sz w:val="24"/>
                <w:szCs w:val="24"/>
              </w:rPr>
              <w:t>分。</w:t>
            </w:r>
          </w:p>
          <w:p w14:paraId="5F410DE4">
            <w:pPr>
              <w:pStyle w:val="9"/>
              <w:spacing w:line="400" w:lineRule="exact"/>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）安保人员中（项目负责人除外）具有保安员三级</w:t>
            </w:r>
            <w:r>
              <w:rPr>
                <w:rFonts w:hint="eastAsia" w:ascii="宋体" w:hAnsi="宋体" w:cs="宋体"/>
                <w:color w:val="auto"/>
                <w:sz w:val="24"/>
                <w:szCs w:val="24"/>
                <w:lang w:val="en-US" w:eastAsia="zh-CN"/>
              </w:rPr>
              <w:t>以上（含三级）</w:t>
            </w:r>
            <w:r>
              <w:rPr>
                <w:rFonts w:hint="eastAsia" w:ascii="宋体" w:hAnsi="宋体" w:cs="宋体"/>
                <w:color w:val="auto"/>
                <w:sz w:val="24"/>
                <w:szCs w:val="24"/>
              </w:rPr>
              <w:t>证书</w:t>
            </w:r>
            <w:r>
              <w:rPr>
                <w:rFonts w:hint="eastAsia" w:ascii="宋体" w:hAnsi="宋体" w:cs="宋体"/>
                <w:color w:val="auto"/>
                <w:sz w:val="24"/>
                <w:szCs w:val="24"/>
                <w:lang w:val="en-US" w:eastAsia="zh-CN"/>
              </w:rPr>
              <w:t>的</w:t>
            </w:r>
            <w:r>
              <w:rPr>
                <w:rFonts w:hint="eastAsia" w:ascii="宋体" w:hAnsi="宋体" w:cs="宋体"/>
                <w:color w:val="auto"/>
                <w:sz w:val="24"/>
                <w:szCs w:val="24"/>
              </w:rPr>
              <w:t>且具有大专及以上学历的，有一个得1分，最高得4分；本项最高得</w:t>
            </w:r>
            <w:r>
              <w:rPr>
                <w:rFonts w:hint="eastAsia" w:ascii="宋体" w:hAnsi="宋体" w:cs="宋体"/>
                <w:color w:val="auto"/>
                <w:sz w:val="24"/>
                <w:szCs w:val="24"/>
                <w:lang w:val="en-US" w:eastAsia="zh-CN"/>
              </w:rPr>
              <w:t>4</w:t>
            </w:r>
            <w:r>
              <w:rPr>
                <w:rFonts w:hint="eastAsia" w:ascii="宋体" w:hAnsi="宋体" w:cs="宋体"/>
                <w:color w:val="auto"/>
                <w:sz w:val="24"/>
                <w:szCs w:val="24"/>
              </w:rPr>
              <w:t>分。</w:t>
            </w:r>
          </w:p>
          <w:p w14:paraId="5A21E12A">
            <w:pPr>
              <w:pStyle w:val="9"/>
              <w:spacing w:line="400" w:lineRule="exact"/>
              <w:rPr>
                <w:rFonts w:hint="eastAsia" w:ascii="宋体" w:hAnsi="宋体" w:cs="宋体"/>
                <w:color w:val="auto"/>
                <w:szCs w:val="24"/>
              </w:rPr>
            </w:pPr>
            <w:r>
              <w:rPr>
                <w:rFonts w:hint="eastAsia" w:ascii="宋体" w:hAnsi="宋体" w:cs="宋体"/>
                <w:b/>
                <w:bCs/>
                <w:color w:val="auto"/>
                <w:sz w:val="24"/>
                <w:szCs w:val="24"/>
              </w:rPr>
              <w:t>注：提供以上人员的相关证书及由社保部门出具的投标人为其缴纳的2024年9月至2024年11月任意一个月的养老保证证明材料的复印件或扫描件。</w:t>
            </w:r>
          </w:p>
        </w:tc>
      </w:tr>
      <w:tr w14:paraId="3D4E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pct"/>
            <w:vAlign w:val="center"/>
          </w:tcPr>
          <w:p w14:paraId="7383B959">
            <w:pPr>
              <w:autoSpaceDE w:val="0"/>
              <w:autoSpaceDN w:val="0"/>
              <w:spacing w:after="120" w:afterLines="50" w:line="400" w:lineRule="exact"/>
              <w:jc w:val="center"/>
              <w:rPr>
                <w:rFonts w:hint="eastAsia" w:ascii="宋体" w:hAnsi="宋体" w:cs="宋体"/>
                <w:b/>
                <w:bCs/>
                <w:sz w:val="24"/>
                <w:szCs w:val="24"/>
              </w:rPr>
            </w:pPr>
            <w:r>
              <w:rPr>
                <w:rFonts w:hint="eastAsia" w:ascii="宋体" w:hAnsi="宋体" w:cs="宋体"/>
                <w:b/>
                <w:bCs/>
                <w:sz w:val="24"/>
                <w:szCs w:val="24"/>
              </w:rPr>
              <w:t>4</w:t>
            </w:r>
          </w:p>
        </w:tc>
        <w:tc>
          <w:tcPr>
            <w:tcW w:w="1145" w:type="pct"/>
            <w:vAlign w:val="center"/>
          </w:tcPr>
          <w:p w14:paraId="1F6A89BD">
            <w:pPr>
              <w:autoSpaceDE w:val="0"/>
              <w:autoSpaceDN w:val="0"/>
              <w:spacing w:after="120" w:afterLines="50" w:line="400" w:lineRule="exact"/>
              <w:jc w:val="center"/>
              <w:rPr>
                <w:rFonts w:hint="eastAsia" w:ascii="宋体" w:hAnsi="宋体" w:cs="宋体"/>
                <w:b/>
                <w:bCs/>
                <w:kern w:val="0"/>
                <w:sz w:val="24"/>
                <w:szCs w:val="24"/>
              </w:rPr>
            </w:pPr>
            <w:r>
              <w:rPr>
                <w:rFonts w:hint="eastAsia" w:ascii="宋体" w:hAnsi="宋体" w:cs="宋体"/>
                <w:b/>
                <w:bCs/>
                <w:sz w:val="24"/>
                <w:szCs w:val="24"/>
              </w:rPr>
              <w:t>业绩（14分）</w:t>
            </w:r>
          </w:p>
        </w:tc>
        <w:tc>
          <w:tcPr>
            <w:tcW w:w="3432" w:type="pct"/>
            <w:vAlign w:val="center"/>
          </w:tcPr>
          <w:p w14:paraId="5532DB9F">
            <w:pPr>
              <w:pStyle w:val="9"/>
              <w:spacing w:line="400" w:lineRule="exact"/>
              <w:rPr>
                <w:rFonts w:hint="eastAsia" w:ascii="宋体" w:hAnsi="宋体" w:cs="宋体"/>
                <w:sz w:val="24"/>
                <w:szCs w:val="24"/>
              </w:rPr>
            </w:pPr>
            <w:r>
              <w:rPr>
                <w:rFonts w:hint="eastAsia" w:ascii="宋体" w:hAnsi="宋体" w:cs="宋体"/>
                <w:sz w:val="24"/>
                <w:szCs w:val="24"/>
              </w:rPr>
              <w:t>投标人自2020年1月1日以来（时间以合同签订日期为准）承担过类似保安服务项目（包括但不限于政府部门、事业单位、国企等类似项目）的，每有一个得2分，本项最高得14分。</w:t>
            </w:r>
          </w:p>
          <w:p w14:paraId="1B2032F0">
            <w:pPr>
              <w:pStyle w:val="9"/>
              <w:spacing w:line="400" w:lineRule="exact"/>
              <w:rPr>
                <w:rFonts w:hint="eastAsia" w:ascii="宋体" w:hAnsi="宋体" w:cs="宋体"/>
                <w:b/>
                <w:bCs/>
                <w:sz w:val="24"/>
                <w:szCs w:val="24"/>
              </w:rPr>
            </w:pPr>
            <w:r>
              <w:rPr>
                <w:rFonts w:hint="eastAsia" w:ascii="宋体" w:hAnsi="宋体" w:cs="宋体"/>
                <w:b/>
                <w:bCs/>
                <w:sz w:val="24"/>
                <w:szCs w:val="24"/>
              </w:rPr>
              <w:t>注：需提供中标通知书、合同的复印件或扫描件。</w:t>
            </w:r>
          </w:p>
        </w:tc>
      </w:tr>
      <w:tr w14:paraId="31C3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pct"/>
            <w:vAlign w:val="center"/>
          </w:tcPr>
          <w:p w14:paraId="164C77E5">
            <w:pPr>
              <w:autoSpaceDE w:val="0"/>
              <w:autoSpaceDN w:val="0"/>
              <w:spacing w:after="120" w:afterLines="50" w:line="400" w:lineRule="exact"/>
              <w:jc w:val="center"/>
              <w:rPr>
                <w:rFonts w:hint="eastAsia" w:ascii="宋体" w:hAnsi="宋体" w:cs="宋体"/>
                <w:b/>
                <w:bCs/>
                <w:sz w:val="24"/>
                <w:szCs w:val="24"/>
              </w:rPr>
            </w:pPr>
            <w:r>
              <w:rPr>
                <w:rFonts w:hint="eastAsia" w:ascii="宋体" w:hAnsi="宋体" w:cs="宋体"/>
                <w:b/>
                <w:bCs/>
                <w:sz w:val="24"/>
                <w:szCs w:val="24"/>
              </w:rPr>
              <w:t>5</w:t>
            </w:r>
          </w:p>
        </w:tc>
        <w:tc>
          <w:tcPr>
            <w:tcW w:w="1145" w:type="pct"/>
            <w:vAlign w:val="center"/>
          </w:tcPr>
          <w:p w14:paraId="0D27BD54">
            <w:pPr>
              <w:autoSpaceDE w:val="0"/>
              <w:autoSpaceDN w:val="0"/>
              <w:spacing w:after="120" w:afterLines="50" w:line="400" w:lineRule="exact"/>
              <w:jc w:val="center"/>
              <w:rPr>
                <w:rFonts w:hint="eastAsia" w:ascii="宋体" w:hAnsi="宋体" w:cs="宋体"/>
                <w:b/>
                <w:bCs/>
                <w:sz w:val="24"/>
                <w:szCs w:val="24"/>
              </w:rPr>
            </w:pPr>
            <w:r>
              <w:rPr>
                <w:rFonts w:hint="eastAsia" w:ascii="宋体" w:hAnsi="宋体" w:cs="宋体"/>
                <w:b/>
                <w:bCs/>
                <w:sz w:val="24"/>
                <w:szCs w:val="24"/>
              </w:rPr>
              <w:t>企业荣誉、表彰</w:t>
            </w:r>
          </w:p>
          <w:p w14:paraId="0EA05074">
            <w:pPr>
              <w:autoSpaceDE w:val="0"/>
              <w:autoSpaceDN w:val="0"/>
              <w:spacing w:after="120" w:afterLines="50" w:line="400" w:lineRule="exact"/>
              <w:jc w:val="center"/>
              <w:rPr>
                <w:rFonts w:hint="eastAsia" w:ascii="宋体" w:hAnsi="宋体" w:cs="宋体"/>
                <w:b/>
                <w:bCs/>
                <w:sz w:val="24"/>
                <w:szCs w:val="24"/>
              </w:rPr>
            </w:pPr>
            <w:r>
              <w:rPr>
                <w:rFonts w:hint="eastAsia" w:ascii="宋体" w:hAnsi="宋体" w:cs="宋体"/>
                <w:b/>
                <w:bCs/>
                <w:sz w:val="24"/>
                <w:szCs w:val="24"/>
              </w:rPr>
              <w:t>（</w:t>
            </w:r>
            <w:r>
              <w:rPr>
                <w:rFonts w:hint="eastAsia" w:ascii="宋体" w:hAnsi="宋体" w:cs="宋体"/>
                <w:b/>
                <w:bCs/>
                <w:sz w:val="24"/>
                <w:szCs w:val="24"/>
                <w:lang w:val="en-US" w:eastAsia="zh-CN"/>
              </w:rPr>
              <w:t>7</w:t>
            </w:r>
            <w:r>
              <w:rPr>
                <w:rFonts w:hint="eastAsia" w:ascii="宋体" w:hAnsi="宋体" w:cs="宋体"/>
                <w:b/>
                <w:bCs/>
                <w:sz w:val="24"/>
                <w:szCs w:val="24"/>
              </w:rPr>
              <w:t>分）</w:t>
            </w:r>
          </w:p>
        </w:tc>
        <w:tc>
          <w:tcPr>
            <w:tcW w:w="3432" w:type="pct"/>
            <w:vAlign w:val="center"/>
          </w:tcPr>
          <w:p w14:paraId="373B37D3">
            <w:pPr>
              <w:pStyle w:val="9"/>
              <w:numPr>
                <w:ilvl w:val="0"/>
                <w:numId w:val="1"/>
              </w:numPr>
              <w:spacing w:line="400" w:lineRule="exact"/>
              <w:rPr>
                <w:rFonts w:hint="eastAsia" w:ascii="宋体" w:hAnsi="宋体" w:cs="宋体"/>
                <w:sz w:val="24"/>
                <w:szCs w:val="24"/>
              </w:rPr>
            </w:pPr>
            <w:r>
              <w:rPr>
                <w:rFonts w:hint="eastAsia" w:ascii="宋体" w:hAnsi="宋体" w:cs="宋体"/>
                <w:sz w:val="24"/>
                <w:szCs w:val="24"/>
              </w:rPr>
              <w:t>投标人荣获区（县）级及以上公安系统颁发的荣誉证书得</w:t>
            </w:r>
            <w:r>
              <w:rPr>
                <w:rFonts w:hint="eastAsia" w:ascii="宋体" w:hAnsi="宋体" w:cs="宋体"/>
                <w:sz w:val="24"/>
                <w:szCs w:val="24"/>
                <w:lang w:val="en-US" w:eastAsia="zh-CN"/>
              </w:rPr>
              <w:t>4</w:t>
            </w:r>
            <w:r>
              <w:rPr>
                <w:rFonts w:hint="eastAsia" w:ascii="宋体" w:hAnsi="宋体" w:cs="宋体"/>
                <w:sz w:val="24"/>
                <w:szCs w:val="24"/>
              </w:rPr>
              <w:t>分；投标人获区（县）级及以上消防部门颁发的荣誉证书得3分。本项最高得</w:t>
            </w:r>
            <w:r>
              <w:rPr>
                <w:rFonts w:hint="eastAsia" w:ascii="宋体" w:hAnsi="宋体" w:cs="宋体"/>
                <w:sz w:val="24"/>
                <w:szCs w:val="24"/>
                <w:lang w:val="en-US" w:eastAsia="zh-CN"/>
              </w:rPr>
              <w:t>7</w:t>
            </w:r>
            <w:r>
              <w:rPr>
                <w:rFonts w:hint="eastAsia" w:ascii="宋体" w:hAnsi="宋体" w:cs="宋体"/>
                <w:sz w:val="24"/>
                <w:szCs w:val="24"/>
              </w:rPr>
              <w:t>分。</w:t>
            </w:r>
          </w:p>
          <w:p w14:paraId="75D970A4">
            <w:pPr>
              <w:pStyle w:val="10"/>
              <w:spacing w:line="400" w:lineRule="exact"/>
              <w:rPr>
                <w:rFonts w:hint="eastAsia" w:ascii="宋体" w:hAnsi="宋体" w:cs="宋体"/>
                <w:szCs w:val="24"/>
              </w:rPr>
            </w:pPr>
            <w:r>
              <w:rPr>
                <w:rFonts w:hint="eastAsia" w:ascii="宋体" w:hAnsi="宋体" w:cs="宋体"/>
                <w:b/>
                <w:bCs/>
                <w:szCs w:val="24"/>
              </w:rPr>
              <w:t>注：提供以上荣誉证书的复印件或扫描件。</w:t>
            </w:r>
          </w:p>
        </w:tc>
      </w:tr>
    </w:tbl>
    <w:p w14:paraId="2A6288F6">
      <w:pPr>
        <w:pStyle w:val="9"/>
        <w:numPr>
          <w:ilvl w:val="0"/>
          <w:numId w:val="0"/>
        </w:numPr>
        <w:spacing w:after="0" w:line="240" w:lineRule="auto"/>
        <w:rPr>
          <w:rFonts w:hint="eastAsia" w:ascii="宋体" w:hAnsi="宋体" w:cs="宋体"/>
          <w:b/>
          <w:bCs/>
          <w:sz w:val="24"/>
          <w:szCs w:val="24"/>
        </w:rPr>
      </w:pPr>
      <w:r>
        <w:rPr>
          <w:rFonts w:hint="eastAsia" w:ascii="宋体" w:hAnsi="宋体" w:cs="宋体"/>
          <w:b/>
          <w:bCs/>
          <w:sz w:val="24"/>
          <w:szCs w:val="24"/>
          <w:lang w:val="en-US" w:eastAsia="zh-CN"/>
        </w:rPr>
        <w:t>注</w:t>
      </w:r>
      <w:r>
        <w:rPr>
          <w:rFonts w:hint="eastAsia" w:ascii="宋体" w:hAnsi="宋体" w:cs="宋体"/>
          <w:b/>
          <w:bCs/>
          <w:sz w:val="24"/>
          <w:szCs w:val="24"/>
        </w:rPr>
        <w:t>：1.以上评分标准提供的材料均须提供扫描件加盖电子签章或复印件加盖红色实物公章，否则相应条款不得分；</w:t>
      </w:r>
    </w:p>
    <w:p w14:paraId="212D055C">
      <w:pPr>
        <w:pStyle w:val="9"/>
        <w:numPr>
          <w:ilvl w:val="0"/>
          <w:numId w:val="0"/>
        </w:numPr>
        <w:spacing w:line="400" w:lineRule="exact"/>
        <w:rPr>
          <w:rFonts w:hint="eastAsia" w:ascii="宋体" w:hAnsi="宋体" w:cs="宋体"/>
          <w:b/>
          <w:bCs/>
          <w:sz w:val="24"/>
          <w:szCs w:val="24"/>
        </w:rPr>
      </w:pPr>
      <w:r>
        <w:rPr>
          <w:rFonts w:hint="eastAsia" w:ascii="宋体" w:hAnsi="宋体" w:cs="宋体"/>
          <w:b/>
          <w:bCs/>
          <w:sz w:val="24"/>
          <w:szCs w:val="24"/>
        </w:rPr>
        <w:t>2.请各投标人参照采购文件的要求格式、内容，顺序制作投标文件，并请编制目录及页码，以最大限度的避免造成评委误判或漏判。</w:t>
      </w:r>
    </w:p>
    <w:p w14:paraId="5733528B">
      <w:pPr>
        <w:pStyle w:val="9"/>
        <w:numPr>
          <w:ilvl w:val="0"/>
          <w:numId w:val="0"/>
        </w:numPr>
        <w:spacing w:line="400" w:lineRule="exact"/>
        <w:rPr>
          <w:rFonts w:hint="eastAsia" w:ascii="宋体" w:hAnsi="宋体" w:cs="宋体"/>
          <w:b/>
          <w:bCs/>
          <w:sz w:val="24"/>
          <w:szCs w:val="24"/>
        </w:rPr>
      </w:pPr>
      <w:r>
        <w:rPr>
          <w:rFonts w:hint="eastAsia" w:ascii="宋体" w:hAnsi="宋体" w:cs="宋体"/>
          <w:b/>
          <w:bCs/>
          <w:sz w:val="24"/>
          <w:szCs w:val="24"/>
        </w:rPr>
        <w:t>3.投标文件中如出现前后不一致时,评委有权请投标人澄清说明,澄清说明事项涉及评分时,评委有权酌情扣分。</w:t>
      </w:r>
    </w:p>
    <w:p w14:paraId="3294D5D4">
      <w:pPr>
        <w:pStyle w:val="6"/>
        <w:spacing w:line="400" w:lineRule="exact"/>
        <w:rPr>
          <w:rFonts w:hint="eastAsia" w:ascii="宋体" w:hAnsi="宋体" w:cs="宋体"/>
          <w:bCs/>
          <w:szCs w:val="24"/>
        </w:rPr>
      </w:pPr>
      <w:r>
        <w:rPr>
          <w:rFonts w:hint="eastAsia" w:ascii="宋体" w:hAnsi="宋体" w:cs="宋体"/>
          <w:bCs/>
          <w:szCs w:val="24"/>
        </w:rPr>
        <w:t>（四）价格分：30分</w:t>
      </w:r>
    </w:p>
    <w:p w14:paraId="64F699C3">
      <w:pPr>
        <w:pStyle w:val="6"/>
        <w:spacing w:line="400" w:lineRule="exact"/>
        <w:ind w:firstLine="480" w:firstLineChars="200"/>
        <w:rPr>
          <w:rFonts w:hint="eastAsia" w:ascii="宋体" w:hAnsi="宋体" w:cs="宋体"/>
          <w:b w:val="0"/>
          <w:szCs w:val="24"/>
        </w:rPr>
      </w:pPr>
      <w:r>
        <w:rPr>
          <w:rFonts w:hint="eastAsia" w:ascii="宋体" w:hAnsi="宋体" w:cs="宋体"/>
          <w:b w:val="0"/>
          <w:szCs w:val="24"/>
        </w:rPr>
        <w:t>价格分统一采用低价优先法计算，即满足招标文件要求且投标价格最低的投标报价为评标基准价，其价格分为满分30分。其他投标人的价格分统一按照下列公式计算：</w:t>
      </w:r>
    </w:p>
    <w:p w14:paraId="3E1A9D15">
      <w:pPr>
        <w:pStyle w:val="6"/>
        <w:spacing w:line="400" w:lineRule="exact"/>
        <w:ind w:firstLine="480" w:firstLineChars="200"/>
        <w:rPr>
          <w:rFonts w:hint="eastAsia" w:ascii="宋体" w:hAnsi="宋体" w:cs="宋体"/>
          <w:b w:val="0"/>
          <w:szCs w:val="24"/>
        </w:rPr>
      </w:pPr>
      <w:r>
        <w:rPr>
          <w:rFonts w:hint="eastAsia" w:ascii="宋体" w:hAnsi="宋体" w:cs="宋体"/>
          <w:b w:val="0"/>
          <w:szCs w:val="24"/>
        </w:rPr>
        <w:t>投标报价得分=（评标基准价/投标报价）×价格权值×100；</w:t>
      </w:r>
    </w:p>
    <w:p w14:paraId="06BA5C78">
      <w:pPr>
        <w:pStyle w:val="6"/>
        <w:spacing w:line="400" w:lineRule="exact"/>
        <w:ind w:firstLine="482" w:firstLineChars="200"/>
        <w:rPr>
          <w:rFonts w:hint="eastAsia" w:ascii="宋体" w:hAnsi="宋体" w:cs="宋体"/>
          <w:bCs/>
          <w:szCs w:val="24"/>
        </w:rPr>
      </w:pPr>
      <w:r>
        <w:rPr>
          <w:rFonts w:hint="eastAsia" w:ascii="宋体" w:hAnsi="宋体" w:cs="宋体"/>
          <w:bCs/>
          <w:szCs w:val="24"/>
        </w:rPr>
        <w:t>注：投标报价高于采购预算金额的作无效响应文件。</w:t>
      </w:r>
    </w:p>
    <w:p w14:paraId="1620601E">
      <w:pPr>
        <w:pStyle w:val="10"/>
        <w:rPr>
          <w:rFonts w:hint="eastAsia"/>
        </w:rPr>
      </w:pPr>
    </w:p>
    <w:p w14:paraId="262DEEE0">
      <w:pPr>
        <w:pStyle w:val="6"/>
        <w:spacing w:line="460" w:lineRule="exact"/>
        <w:ind w:firstLine="482" w:firstLineChars="200"/>
        <w:rPr>
          <w:rFonts w:hint="eastAsia" w:ascii="宋体" w:hAnsi="宋体" w:cs="宋体"/>
          <w:bCs/>
          <w:szCs w:val="24"/>
        </w:rPr>
      </w:pPr>
      <w:r>
        <w:rPr>
          <w:rFonts w:hint="eastAsia" w:ascii="宋体" w:hAnsi="宋体" w:cs="宋体"/>
          <w:bCs/>
          <w:szCs w:val="24"/>
        </w:rPr>
        <w:t>（五）中标人的确定</w:t>
      </w:r>
    </w:p>
    <w:p w14:paraId="4B31E110">
      <w:pPr>
        <w:pStyle w:val="6"/>
        <w:spacing w:line="460" w:lineRule="exact"/>
        <w:ind w:firstLine="480" w:firstLineChars="200"/>
        <w:rPr>
          <w:rFonts w:hint="eastAsia" w:ascii="宋体" w:hAnsi="宋体" w:cs="宋体"/>
          <w:b w:val="0"/>
          <w:szCs w:val="24"/>
        </w:rPr>
      </w:pPr>
      <w:r>
        <w:rPr>
          <w:rFonts w:hint="eastAsia" w:ascii="宋体" w:hAnsi="宋体" w:cs="宋体"/>
          <w:b w:val="0"/>
          <w:szCs w:val="24"/>
        </w:rPr>
        <w:t>评委会汇总各评委评分后，按照得分从高到低的顺序推荐三名中标候选人，并编写评标报告。</w:t>
      </w:r>
    </w:p>
    <w:p w14:paraId="53940CE9">
      <w:pPr>
        <w:pStyle w:val="6"/>
        <w:spacing w:line="460" w:lineRule="exact"/>
        <w:ind w:firstLine="480" w:firstLineChars="200"/>
        <w:rPr>
          <w:rFonts w:hint="eastAsia" w:ascii="宋体" w:hAnsi="宋体" w:cs="宋体"/>
          <w:b w:val="0"/>
          <w:szCs w:val="24"/>
        </w:rPr>
      </w:pPr>
      <w:r>
        <w:rPr>
          <w:rFonts w:hint="eastAsia" w:ascii="宋体" w:hAnsi="宋体" w:cs="宋体"/>
          <w:b w:val="0"/>
          <w:szCs w:val="24"/>
        </w:rPr>
        <w:t>采购人委托评标委员会直接确定排名第一的中标候选人为中标人。</w:t>
      </w:r>
    </w:p>
    <w:p w14:paraId="71C02846">
      <w:pPr>
        <w:pStyle w:val="6"/>
        <w:spacing w:line="460" w:lineRule="exact"/>
        <w:ind w:firstLine="480" w:firstLineChars="200"/>
        <w:rPr>
          <w:rFonts w:hint="eastAsia" w:ascii="宋体" w:hAnsi="宋体" w:cs="宋体"/>
          <w:b w:val="0"/>
          <w:szCs w:val="24"/>
        </w:rPr>
      </w:pPr>
      <w:r>
        <w:rPr>
          <w:rFonts w:hint="eastAsia" w:ascii="宋体" w:hAnsi="宋体" w:cs="宋体"/>
          <w:b w:val="0"/>
          <w:szCs w:val="24"/>
        </w:rPr>
        <w:t>（六）采购人代表或代理机构宣布评标结果。</w:t>
      </w:r>
    </w:p>
    <w:p w14:paraId="73D5F944">
      <w:pPr>
        <w:pStyle w:val="6"/>
        <w:spacing w:line="460" w:lineRule="exact"/>
        <w:ind w:firstLine="482" w:firstLineChars="200"/>
        <w:rPr>
          <w:rFonts w:hint="eastAsia" w:ascii="宋体" w:hAnsi="宋体" w:cs="宋体"/>
          <w:bCs/>
          <w:szCs w:val="24"/>
        </w:rPr>
      </w:pPr>
      <w:r>
        <w:rPr>
          <w:rFonts w:hint="eastAsia" w:ascii="宋体" w:hAnsi="宋体" w:cs="宋体"/>
          <w:bCs/>
          <w:szCs w:val="24"/>
        </w:rPr>
        <w:t>（七）公告中标结果</w:t>
      </w:r>
    </w:p>
    <w:p w14:paraId="72C89F02">
      <w:pPr>
        <w:pStyle w:val="6"/>
        <w:spacing w:line="460" w:lineRule="exact"/>
        <w:ind w:firstLine="480" w:firstLineChars="200"/>
        <w:rPr>
          <w:rFonts w:hint="eastAsia" w:ascii="宋体" w:hAnsi="宋体" w:cs="宋体"/>
          <w:b w:val="0"/>
          <w:szCs w:val="24"/>
        </w:rPr>
      </w:pPr>
      <w:r>
        <w:rPr>
          <w:rFonts w:hint="eastAsia" w:ascii="宋体" w:hAnsi="宋体" w:cs="宋体"/>
          <w:b w:val="0"/>
          <w:szCs w:val="24"/>
        </w:rPr>
        <w:t>自确定中标人之日起2个工作日内，在“如东水务集团有限公司官网”和“如东县限额交易网”上公告中标结果，公告期限为1个工作日。</w:t>
      </w:r>
    </w:p>
    <w:p w14:paraId="158912EE">
      <w:pPr>
        <w:pStyle w:val="6"/>
        <w:spacing w:line="460" w:lineRule="exact"/>
        <w:ind w:firstLine="482" w:firstLineChars="200"/>
        <w:rPr>
          <w:rFonts w:hint="eastAsia" w:ascii="宋体" w:hAnsi="宋体" w:cs="宋体"/>
          <w:bCs/>
          <w:szCs w:val="24"/>
        </w:rPr>
      </w:pPr>
      <w:r>
        <w:rPr>
          <w:rFonts w:hint="eastAsia" w:ascii="宋体" w:hAnsi="宋体" w:cs="宋体"/>
          <w:bCs/>
          <w:szCs w:val="24"/>
        </w:rPr>
        <w:t>（八）发放中标通知书</w:t>
      </w:r>
    </w:p>
    <w:p w14:paraId="46A7EA09">
      <w:pPr>
        <w:pStyle w:val="6"/>
        <w:spacing w:line="460" w:lineRule="exact"/>
        <w:ind w:firstLine="480" w:firstLineChars="200"/>
        <w:rPr>
          <w:rFonts w:hint="eastAsia" w:ascii="宋体" w:hAnsi="宋体" w:cs="宋体"/>
          <w:b w:val="0"/>
          <w:szCs w:val="24"/>
        </w:rPr>
      </w:pPr>
      <w:r>
        <w:rPr>
          <w:rFonts w:hint="eastAsia" w:ascii="宋体" w:hAnsi="宋体" w:cs="宋体"/>
          <w:b w:val="0"/>
          <w:szCs w:val="24"/>
        </w:rPr>
        <w:t>公告中标结果的同时，采购人向中标供应商发放中标通知书。</w:t>
      </w:r>
    </w:p>
    <w:p w14:paraId="32CA303D">
      <w:pPr>
        <w:pStyle w:val="6"/>
        <w:spacing w:line="460" w:lineRule="exact"/>
        <w:ind w:firstLine="480" w:firstLineChars="200"/>
        <w:rPr>
          <w:rFonts w:hint="eastAsia" w:ascii="宋体" w:hAnsi="宋体" w:cs="宋体"/>
          <w:b w:val="0"/>
          <w:szCs w:val="24"/>
        </w:rPr>
      </w:pPr>
      <w:r>
        <w:rPr>
          <w:rFonts w:hint="eastAsia" w:ascii="宋体" w:hAnsi="宋体" w:cs="宋体"/>
          <w:b w:val="0"/>
          <w:szCs w:val="24"/>
        </w:rPr>
        <w:t>中标通知书发出后，采购人不得违法改变中标结果，中标供应商无正当理由不得放弃中标。</w:t>
      </w:r>
    </w:p>
    <w:p w14:paraId="11A96D41">
      <w:pPr>
        <w:pStyle w:val="6"/>
        <w:spacing w:line="460" w:lineRule="exact"/>
        <w:ind w:firstLine="480" w:firstLineChars="200"/>
        <w:rPr>
          <w:rFonts w:hint="eastAsia" w:ascii="宋体" w:hAnsi="宋体" w:cs="宋体"/>
          <w:b w:val="0"/>
          <w:szCs w:val="24"/>
        </w:rPr>
      </w:pPr>
    </w:p>
    <w:p w14:paraId="2BD108F7">
      <w:pPr>
        <w:spacing w:line="460" w:lineRule="exact"/>
        <w:ind w:firstLine="723" w:firstLineChars="200"/>
        <w:jc w:val="center"/>
        <w:rPr>
          <w:rFonts w:hint="eastAsia" w:asciiTheme="majorEastAsia" w:hAnsiTheme="majorEastAsia" w:eastAsiaTheme="majorEastAsia" w:cstheme="majorEastAsia"/>
          <w:b/>
          <w:bCs/>
          <w:color w:val="000000"/>
          <w:sz w:val="36"/>
          <w:szCs w:val="36"/>
        </w:rPr>
      </w:pPr>
    </w:p>
    <w:p w14:paraId="0D51C7F8">
      <w:pPr>
        <w:pStyle w:val="22"/>
        <w:spacing w:line="460" w:lineRule="exact"/>
        <w:ind w:firstLine="560" w:firstLineChars="200"/>
        <w:rPr>
          <w:rFonts w:hint="eastAsia" w:ascii="宋体" w:hAnsi="宋体" w:eastAsia="宋体" w:cs="宋体"/>
        </w:rPr>
      </w:pPr>
    </w:p>
    <w:p w14:paraId="15713F93">
      <w:pPr>
        <w:pStyle w:val="22"/>
        <w:spacing w:line="460" w:lineRule="exact"/>
        <w:ind w:firstLine="560" w:firstLineChars="200"/>
        <w:rPr>
          <w:rFonts w:hint="eastAsia" w:ascii="宋体" w:hAnsi="宋体" w:eastAsia="宋体" w:cs="宋体"/>
        </w:rPr>
      </w:pPr>
    </w:p>
    <w:p w14:paraId="34A0B302">
      <w:pPr>
        <w:pStyle w:val="22"/>
        <w:spacing w:line="460" w:lineRule="exact"/>
        <w:ind w:firstLine="560" w:firstLineChars="200"/>
        <w:rPr>
          <w:rFonts w:hint="eastAsia" w:ascii="宋体" w:hAnsi="宋体" w:eastAsia="宋体" w:cs="宋体"/>
        </w:rPr>
      </w:pPr>
    </w:p>
    <w:p w14:paraId="14002DF1">
      <w:pPr>
        <w:pStyle w:val="22"/>
        <w:spacing w:line="460" w:lineRule="exact"/>
        <w:ind w:firstLine="560" w:firstLineChars="200"/>
        <w:rPr>
          <w:rFonts w:hint="eastAsia" w:ascii="宋体" w:hAnsi="宋体" w:eastAsia="宋体" w:cs="宋体"/>
        </w:rPr>
      </w:pPr>
    </w:p>
    <w:p w14:paraId="65EF44B3">
      <w:pPr>
        <w:pStyle w:val="22"/>
        <w:spacing w:line="460" w:lineRule="exact"/>
        <w:ind w:firstLine="560" w:firstLineChars="200"/>
        <w:rPr>
          <w:rFonts w:hint="eastAsia" w:ascii="宋体" w:hAnsi="宋体" w:eastAsia="宋体" w:cs="宋体"/>
        </w:rPr>
      </w:pPr>
    </w:p>
    <w:p w14:paraId="4D9286F1">
      <w:pPr>
        <w:pStyle w:val="22"/>
        <w:spacing w:line="460" w:lineRule="exact"/>
        <w:ind w:firstLine="560" w:firstLineChars="200"/>
        <w:rPr>
          <w:rFonts w:hint="eastAsia" w:ascii="宋体" w:hAnsi="宋体" w:eastAsia="宋体" w:cs="宋体"/>
        </w:rPr>
      </w:pPr>
    </w:p>
    <w:p w14:paraId="39781221">
      <w:pPr>
        <w:pStyle w:val="22"/>
        <w:spacing w:line="460" w:lineRule="exact"/>
        <w:ind w:firstLine="560" w:firstLineChars="200"/>
        <w:rPr>
          <w:rFonts w:hint="eastAsia" w:ascii="宋体" w:hAnsi="宋体" w:eastAsia="宋体" w:cs="宋体"/>
        </w:rPr>
      </w:pPr>
    </w:p>
    <w:p w14:paraId="35BEAB12">
      <w:pPr>
        <w:pStyle w:val="22"/>
        <w:spacing w:line="460" w:lineRule="exact"/>
        <w:ind w:firstLine="560" w:firstLineChars="200"/>
        <w:rPr>
          <w:rFonts w:hint="eastAsia" w:ascii="宋体" w:hAnsi="宋体" w:eastAsia="宋体" w:cs="宋体"/>
        </w:rPr>
      </w:pPr>
    </w:p>
    <w:p w14:paraId="65ADC489">
      <w:pPr>
        <w:pStyle w:val="22"/>
        <w:spacing w:line="460" w:lineRule="exact"/>
        <w:ind w:firstLine="560" w:firstLineChars="200"/>
        <w:rPr>
          <w:rFonts w:hint="eastAsia" w:ascii="宋体" w:hAnsi="宋体" w:eastAsia="宋体" w:cs="宋体"/>
        </w:rPr>
      </w:pPr>
    </w:p>
    <w:p w14:paraId="6F5843FB">
      <w:pPr>
        <w:pStyle w:val="22"/>
        <w:spacing w:line="460" w:lineRule="exact"/>
        <w:ind w:firstLine="560" w:firstLineChars="200"/>
        <w:rPr>
          <w:rFonts w:hint="eastAsia" w:ascii="宋体" w:hAnsi="宋体" w:eastAsia="宋体" w:cs="宋体"/>
        </w:rPr>
      </w:pPr>
    </w:p>
    <w:p w14:paraId="150069FE">
      <w:pPr>
        <w:pStyle w:val="22"/>
        <w:spacing w:line="460" w:lineRule="exact"/>
        <w:ind w:firstLine="560" w:firstLineChars="200"/>
        <w:rPr>
          <w:rFonts w:hint="eastAsia" w:ascii="宋体" w:hAnsi="宋体" w:eastAsia="宋体" w:cs="宋体"/>
        </w:rPr>
      </w:pPr>
    </w:p>
    <w:p w14:paraId="6E680FAA">
      <w:pPr>
        <w:pStyle w:val="22"/>
        <w:spacing w:line="460" w:lineRule="exact"/>
        <w:ind w:firstLine="560" w:firstLineChars="200"/>
        <w:rPr>
          <w:rFonts w:hint="eastAsia" w:ascii="宋体" w:hAnsi="宋体" w:eastAsia="宋体" w:cs="宋体"/>
        </w:rPr>
      </w:pPr>
    </w:p>
    <w:p w14:paraId="5CFCD4EC">
      <w:pPr>
        <w:pStyle w:val="22"/>
        <w:spacing w:line="460" w:lineRule="exact"/>
        <w:ind w:firstLine="560" w:firstLineChars="200"/>
        <w:rPr>
          <w:rFonts w:hint="eastAsia" w:ascii="宋体" w:hAnsi="宋体" w:eastAsia="宋体" w:cs="宋体"/>
        </w:rPr>
      </w:pPr>
    </w:p>
    <w:p w14:paraId="2F741B7C">
      <w:pPr>
        <w:pStyle w:val="22"/>
        <w:spacing w:line="460" w:lineRule="exact"/>
        <w:ind w:firstLine="560" w:firstLineChars="200"/>
        <w:rPr>
          <w:rFonts w:hint="eastAsia" w:ascii="宋体" w:hAnsi="宋体" w:eastAsia="宋体" w:cs="宋体"/>
        </w:rPr>
      </w:pPr>
    </w:p>
    <w:p w14:paraId="3A330B44">
      <w:pPr>
        <w:pStyle w:val="22"/>
        <w:spacing w:line="460" w:lineRule="exact"/>
        <w:ind w:firstLine="560" w:firstLineChars="200"/>
        <w:rPr>
          <w:rFonts w:hint="eastAsia" w:ascii="宋体" w:hAnsi="宋体" w:eastAsia="宋体" w:cs="宋体"/>
        </w:rPr>
      </w:pPr>
    </w:p>
    <w:p w14:paraId="272B722D">
      <w:pPr>
        <w:pStyle w:val="22"/>
        <w:spacing w:line="460" w:lineRule="exact"/>
        <w:ind w:firstLine="560" w:firstLineChars="200"/>
        <w:rPr>
          <w:rFonts w:hint="eastAsia" w:ascii="宋体" w:hAnsi="宋体" w:eastAsia="宋体" w:cs="宋体"/>
        </w:rPr>
      </w:pPr>
    </w:p>
    <w:p w14:paraId="48C7F872">
      <w:pPr>
        <w:pStyle w:val="57"/>
        <w:spacing w:afterLines="0"/>
        <w:rPr>
          <w:rFonts w:hint="eastAsia" w:ascii="宋体" w:hAnsi="宋体" w:eastAsia="宋体" w:cs="宋体"/>
          <w:sz w:val="72"/>
          <w:szCs w:val="21"/>
        </w:rPr>
      </w:pPr>
      <w:r>
        <w:rPr>
          <w:rFonts w:hint="eastAsia" w:ascii="宋体" w:hAnsi="宋体" w:eastAsia="宋体" w:cs="宋体"/>
        </w:rPr>
        <w:t>第五章  投标文件格式</w:t>
      </w:r>
    </w:p>
    <w:p w14:paraId="3A930DEC">
      <w:pPr>
        <w:ind w:firstLine="7384" w:firstLineChars="2043"/>
        <w:rPr>
          <w:rFonts w:hint="eastAsia" w:ascii="宋体" w:hAnsi="宋体"/>
          <w:b/>
          <w:sz w:val="36"/>
          <w:szCs w:val="36"/>
        </w:rPr>
      </w:pPr>
      <w:bookmarkStart w:id="62" w:name="_Hlt26671244"/>
      <w:bookmarkEnd w:id="62"/>
      <w:bookmarkStart w:id="63" w:name="_Hlt26955039"/>
      <w:bookmarkEnd w:id="63"/>
      <w:r>
        <w:rPr>
          <w:rFonts w:hint="eastAsia" w:ascii="宋体" w:hAnsi="宋体"/>
          <w:b/>
          <w:sz w:val="36"/>
          <w:szCs w:val="36"/>
        </w:rPr>
        <w:t>正（副）本</w:t>
      </w:r>
    </w:p>
    <w:p w14:paraId="3689EEC7">
      <w:pPr>
        <w:pStyle w:val="26"/>
        <w:ind w:firstLine="723"/>
        <w:rPr>
          <w:b/>
          <w:sz w:val="36"/>
          <w:szCs w:val="36"/>
        </w:rPr>
      </w:pPr>
    </w:p>
    <w:p w14:paraId="649A0C2D">
      <w:pPr>
        <w:ind w:firstLine="723"/>
        <w:rPr>
          <w:rFonts w:hint="eastAsia" w:ascii="宋体" w:hAnsi="宋体"/>
          <w:b/>
          <w:sz w:val="36"/>
          <w:szCs w:val="36"/>
        </w:rPr>
      </w:pPr>
    </w:p>
    <w:p w14:paraId="04D209EB">
      <w:pPr>
        <w:pStyle w:val="26"/>
      </w:pPr>
    </w:p>
    <w:p w14:paraId="08D3419C">
      <w:pPr>
        <w:ind w:firstLine="560"/>
      </w:pPr>
    </w:p>
    <w:p w14:paraId="2B88AADB">
      <w:pPr>
        <w:ind w:firstLine="723" w:firstLineChars="100"/>
        <w:rPr>
          <w:rFonts w:hint="eastAsia" w:ascii="宋体" w:hAnsi="宋体"/>
          <w:b/>
          <w:sz w:val="72"/>
        </w:rPr>
      </w:pPr>
    </w:p>
    <w:p w14:paraId="350F5B57">
      <w:pPr>
        <w:ind w:firstLine="723" w:firstLineChars="100"/>
        <w:rPr>
          <w:rFonts w:hint="eastAsia" w:ascii="宋体" w:hAnsi="宋体"/>
          <w:b/>
          <w:sz w:val="72"/>
        </w:rPr>
      </w:pPr>
    </w:p>
    <w:p w14:paraId="292FF2E5">
      <w:pPr>
        <w:ind w:firstLine="723" w:firstLineChars="100"/>
        <w:rPr>
          <w:rFonts w:hint="eastAsia" w:ascii="宋体" w:hAnsi="宋体"/>
          <w:b/>
          <w:sz w:val="72"/>
        </w:rPr>
      </w:pPr>
      <w:r>
        <w:rPr>
          <w:rFonts w:hint="eastAsia" w:ascii="宋体" w:hAnsi="宋体"/>
          <w:b/>
          <w:sz w:val="72"/>
        </w:rPr>
        <w:t>投  标  响  应  文  件</w:t>
      </w:r>
    </w:p>
    <w:p w14:paraId="2F861050">
      <w:pPr>
        <w:ind w:firstLine="643"/>
        <w:jc w:val="center"/>
        <w:rPr>
          <w:rFonts w:hint="eastAsia" w:ascii="宋体" w:hAnsi="宋体"/>
          <w:b/>
          <w:sz w:val="32"/>
          <w:szCs w:val="32"/>
        </w:rPr>
      </w:pPr>
      <w:r>
        <w:rPr>
          <w:rFonts w:hint="eastAsia" w:ascii="宋体" w:hAnsi="宋体"/>
          <w:b/>
          <w:sz w:val="32"/>
          <w:szCs w:val="32"/>
        </w:rPr>
        <w:t>（资审文件</w:t>
      </w:r>
      <w:r>
        <w:rPr>
          <w:rFonts w:ascii="宋体" w:hAnsi="宋体"/>
          <w:b/>
          <w:sz w:val="32"/>
          <w:szCs w:val="32"/>
        </w:rPr>
        <w:t>/</w:t>
      </w:r>
      <w:r>
        <w:rPr>
          <w:rFonts w:hint="eastAsia" w:ascii="宋体" w:hAnsi="宋体"/>
          <w:b/>
          <w:sz w:val="32"/>
          <w:szCs w:val="32"/>
        </w:rPr>
        <w:t>商务技术标文件</w:t>
      </w:r>
      <w:r>
        <w:rPr>
          <w:rFonts w:ascii="宋体" w:hAnsi="宋体"/>
          <w:b/>
          <w:sz w:val="32"/>
          <w:szCs w:val="32"/>
        </w:rPr>
        <w:t>/</w:t>
      </w:r>
      <w:r>
        <w:rPr>
          <w:rFonts w:hint="eastAsia" w:ascii="宋体" w:hAnsi="宋体"/>
          <w:b/>
          <w:sz w:val="32"/>
          <w:szCs w:val="32"/>
        </w:rPr>
        <w:t>经济标文件）</w:t>
      </w:r>
    </w:p>
    <w:p w14:paraId="452C8DBA">
      <w:pPr>
        <w:ind w:firstLine="643"/>
        <w:jc w:val="center"/>
        <w:rPr>
          <w:rFonts w:hint="eastAsia" w:ascii="宋体" w:hAnsi="宋体"/>
          <w:b/>
          <w:sz w:val="32"/>
          <w:szCs w:val="32"/>
        </w:rPr>
      </w:pPr>
    </w:p>
    <w:p w14:paraId="5945E90B">
      <w:pPr>
        <w:ind w:firstLine="1446"/>
        <w:jc w:val="center"/>
        <w:rPr>
          <w:rFonts w:hint="eastAsia" w:ascii="宋体" w:hAnsi="宋体"/>
          <w:b/>
          <w:sz w:val="72"/>
        </w:rPr>
      </w:pPr>
    </w:p>
    <w:p w14:paraId="6A0A27FB">
      <w:pPr>
        <w:ind w:firstLine="723"/>
        <w:jc w:val="center"/>
        <w:rPr>
          <w:rFonts w:hint="eastAsia" w:ascii="宋体" w:hAnsi="宋体"/>
          <w:b/>
          <w:sz w:val="36"/>
        </w:rPr>
      </w:pPr>
    </w:p>
    <w:p w14:paraId="22ACB1FC">
      <w:pPr>
        <w:pStyle w:val="26"/>
        <w:ind w:firstLine="723"/>
        <w:rPr>
          <w:rFonts w:hint="eastAsia" w:ascii="宋体" w:hAnsi="宋体"/>
          <w:b/>
          <w:sz w:val="36"/>
        </w:rPr>
      </w:pPr>
    </w:p>
    <w:p w14:paraId="5634D64E">
      <w:pPr>
        <w:rPr>
          <w:rFonts w:hint="eastAsia" w:ascii="宋体" w:hAnsi="宋体"/>
          <w:b/>
          <w:sz w:val="36"/>
        </w:rPr>
      </w:pPr>
    </w:p>
    <w:p w14:paraId="440E4C4C">
      <w:pPr>
        <w:pStyle w:val="26"/>
      </w:pPr>
    </w:p>
    <w:p w14:paraId="7391D0E7">
      <w:pPr>
        <w:rPr>
          <w:rFonts w:hint="eastAsia" w:ascii="宋体" w:hAnsi="宋体"/>
          <w:b/>
          <w:sz w:val="36"/>
        </w:rPr>
      </w:pPr>
    </w:p>
    <w:p w14:paraId="3C083131">
      <w:pPr>
        <w:pStyle w:val="26"/>
      </w:pPr>
    </w:p>
    <w:p w14:paraId="215407A2">
      <w:pPr>
        <w:ind w:firstLine="2349" w:firstLineChars="650"/>
        <w:rPr>
          <w:rFonts w:hint="eastAsia" w:ascii="宋体" w:hAnsi="宋体"/>
          <w:b/>
          <w:sz w:val="36"/>
        </w:rPr>
      </w:pPr>
    </w:p>
    <w:p w14:paraId="2FB59BBB">
      <w:pPr>
        <w:adjustRightInd w:val="0"/>
        <w:snapToGrid w:val="0"/>
        <w:spacing w:line="480" w:lineRule="auto"/>
        <w:ind w:firstLine="726"/>
        <w:rPr>
          <w:rFonts w:hint="eastAsia" w:ascii="宋体" w:hAnsi="宋体"/>
          <w:b/>
          <w:sz w:val="36"/>
          <w:u w:val="single"/>
        </w:rPr>
      </w:pPr>
      <w:r>
        <w:rPr>
          <w:rFonts w:hint="eastAsia" w:ascii="宋体" w:hAnsi="宋体"/>
          <w:b/>
          <w:sz w:val="36"/>
        </w:rPr>
        <w:t>项 目 名 称：</w:t>
      </w:r>
      <w:r>
        <w:rPr>
          <w:rFonts w:hint="eastAsia" w:ascii="宋体" w:hAnsi="宋体"/>
          <w:b/>
          <w:sz w:val="36"/>
          <w:u w:val="single"/>
        </w:rPr>
        <w:t xml:space="preserve">                    </w:t>
      </w:r>
    </w:p>
    <w:p w14:paraId="65243284">
      <w:pPr>
        <w:adjustRightInd w:val="0"/>
        <w:snapToGrid w:val="0"/>
        <w:spacing w:line="480" w:lineRule="auto"/>
        <w:ind w:firstLine="726"/>
        <w:rPr>
          <w:rFonts w:hint="eastAsia" w:ascii="宋体" w:hAnsi="宋体"/>
          <w:b/>
          <w:sz w:val="36"/>
          <w:u w:val="single"/>
        </w:rPr>
      </w:pPr>
      <w:r>
        <w:rPr>
          <w:rFonts w:hint="eastAsia" w:ascii="宋体" w:hAnsi="宋体"/>
          <w:b/>
          <w:sz w:val="36"/>
        </w:rPr>
        <w:t>采购人名称：</w:t>
      </w:r>
      <w:r>
        <w:rPr>
          <w:rFonts w:hint="eastAsia" w:ascii="宋体" w:hAnsi="宋体"/>
          <w:b/>
          <w:sz w:val="36"/>
          <w:u w:val="single"/>
        </w:rPr>
        <w:t xml:space="preserve">                      </w:t>
      </w:r>
    </w:p>
    <w:p w14:paraId="38B2ED23">
      <w:pPr>
        <w:adjustRightInd w:val="0"/>
        <w:snapToGrid w:val="0"/>
        <w:spacing w:line="480" w:lineRule="auto"/>
        <w:ind w:firstLine="726"/>
        <w:rPr>
          <w:rFonts w:hint="eastAsia" w:ascii="宋体" w:hAnsi="宋体"/>
          <w:b/>
          <w:sz w:val="36"/>
          <w:u w:val="single"/>
        </w:rPr>
      </w:pPr>
      <w:r>
        <w:rPr>
          <w:rFonts w:hint="eastAsia" w:ascii="宋体" w:hAnsi="宋体"/>
          <w:b/>
          <w:sz w:val="36"/>
        </w:rPr>
        <w:t>投标人名称 ：</w:t>
      </w:r>
      <w:r>
        <w:rPr>
          <w:rFonts w:hint="eastAsia" w:ascii="宋体" w:hAnsi="宋体"/>
          <w:b/>
          <w:sz w:val="36"/>
          <w:u w:val="single"/>
        </w:rPr>
        <w:t xml:space="preserve">                        </w:t>
      </w:r>
    </w:p>
    <w:p w14:paraId="434022DE">
      <w:pPr>
        <w:adjustRightInd w:val="0"/>
        <w:snapToGrid w:val="0"/>
        <w:spacing w:line="480" w:lineRule="auto"/>
        <w:ind w:firstLine="726"/>
        <w:jc w:val="left"/>
        <w:rPr>
          <w:rFonts w:hint="eastAsia" w:ascii="宋体" w:hAnsi="宋体" w:cs="宋体"/>
          <w:b/>
          <w:bCs/>
          <w:sz w:val="32"/>
          <w:szCs w:val="32"/>
        </w:rPr>
      </w:pPr>
      <w:r>
        <w:rPr>
          <w:rFonts w:hint="eastAsia" w:ascii="宋体" w:hAnsi="宋体"/>
          <w:b/>
          <w:sz w:val="36"/>
        </w:rPr>
        <w:t>日      期 ：</w:t>
      </w:r>
      <w:r>
        <w:rPr>
          <w:rFonts w:hint="eastAsia" w:ascii="宋体" w:hAnsi="宋体"/>
          <w:b/>
          <w:sz w:val="36"/>
          <w:u w:val="single"/>
        </w:rPr>
        <w:t xml:space="preserve">                       </w:t>
      </w:r>
    </w:p>
    <w:p w14:paraId="0E867F9C">
      <w:pPr>
        <w:spacing w:line="400" w:lineRule="exact"/>
        <w:ind w:firstLine="4176" w:firstLineChars="1300"/>
        <w:rPr>
          <w:rFonts w:hint="eastAsia" w:ascii="宋体" w:hAnsi="宋体" w:cs="宋体"/>
          <w:b/>
          <w:bCs/>
          <w:sz w:val="24"/>
          <w:szCs w:val="24"/>
        </w:rPr>
      </w:pPr>
      <w:r>
        <w:rPr>
          <w:rFonts w:hint="eastAsia" w:ascii="宋体" w:hAnsi="宋体" w:cs="宋体"/>
          <w:b/>
          <w:bCs/>
          <w:sz w:val="32"/>
          <w:szCs w:val="32"/>
        </w:rPr>
        <w:t>投标文件格式</w:t>
      </w:r>
    </w:p>
    <w:p w14:paraId="58DA38CB">
      <w:pPr>
        <w:adjustRightInd w:val="0"/>
        <w:snapToGrid w:val="0"/>
        <w:spacing w:line="400" w:lineRule="exact"/>
        <w:ind w:firstLine="482"/>
        <w:jc w:val="left"/>
        <w:rPr>
          <w:rFonts w:hint="eastAsia" w:ascii="宋体" w:hAnsi="宋体" w:cs="宋体"/>
          <w:b/>
          <w:sz w:val="24"/>
          <w:szCs w:val="24"/>
        </w:rPr>
      </w:pPr>
      <w:r>
        <w:rPr>
          <w:rFonts w:hint="eastAsia" w:ascii="宋体" w:hAnsi="宋体"/>
          <w:b/>
          <w:sz w:val="24"/>
          <w:szCs w:val="24"/>
        </w:rPr>
        <w:t xml:space="preserve"> 响应文件由资审文件、商务技术标文件</w:t>
      </w:r>
      <w:r>
        <w:rPr>
          <w:rFonts w:hint="eastAsia" w:ascii="宋体" w:hAnsi="宋体" w:cs="宋体"/>
          <w:bCs/>
          <w:szCs w:val="24"/>
          <w:lang w:val="zh-CN"/>
        </w:rPr>
        <w:t>、</w:t>
      </w:r>
      <w:r>
        <w:rPr>
          <w:rFonts w:hint="eastAsia" w:ascii="宋体" w:hAnsi="宋体"/>
          <w:b/>
          <w:sz w:val="24"/>
          <w:szCs w:val="24"/>
        </w:rPr>
        <w:t>经济标文件三部分组成。请供应商根据本招标文件的要求在三部分中分别上传响应的材料,响应材料须为扫描件加盖电子签章或复印件加盖红色实物公章。</w:t>
      </w:r>
      <w:r>
        <w:rPr>
          <w:rFonts w:hint="eastAsia" w:ascii="宋体" w:hAnsi="宋体"/>
          <w:b/>
          <w:sz w:val="24"/>
          <w:szCs w:val="24"/>
          <w:lang w:val="zh-CN"/>
        </w:rPr>
        <w:t>响应文件制作软件中的文件格式与</w:t>
      </w:r>
      <w:r>
        <w:rPr>
          <w:rFonts w:hint="eastAsia" w:ascii="宋体" w:hAnsi="宋体"/>
          <w:b/>
          <w:sz w:val="24"/>
          <w:szCs w:val="24"/>
        </w:rPr>
        <w:t>招标</w:t>
      </w:r>
      <w:r>
        <w:rPr>
          <w:rFonts w:hint="eastAsia" w:ascii="宋体" w:hAnsi="宋体"/>
          <w:b/>
          <w:sz w:val="24"/>
          <w:szCs w:val="24"/>
          <w:lang w:val="zh-CN"/>
        </w:rPr>
        <w:t>文件中规定的不一致时，以</w:t>
      </w:r>
      <w:r>
        <w:rPr>
          <w:rFonts w:hint="eastAsia" w:ascii="宋体" w:hAnsi="宋体"/>
          <w:b/>
          <w:sz w:val="24"/>
          <w:szCs w:val="24"/>
        </w:rPr>
        <w:t>招标</w:t>
      </w:r>
      <w:r>
        <w:rPr>
          <w:rFonts w:hint="eastAsia" w:ascii="宋体" w:hAnsi="宋体"/>
          <w:b/>
          <w:sz w:val="24"/>
          <w:szCs w:val="24"/>
          <w:lang w:val="zh-CN"/>
        </w:rPr>
        <w:t>文件要求的为准。响应文件格式中要求签字的不可打印填写，否则视为无效投标。</w:t>
      </w:r>
    </w:p>
    <w:p w14:paraId="46C1BBA2">
      <w:pPr>
        <w:adjustRightInd w:val="0"/>
        <w:snapToGrid w:val="0"/>
        <w:spacing w:line="400" w:lineRule="exact"/>
        <w:rPr>
          <w:rFonts w:hint="eastAsia" w:ascii="宋体" w:hAnsi="宋体" w:cs="宋体"/>
          <w:b/>
          <w:bCs/>
          <w:kern w:val="0"/>
          <w:sz w:val="28"/>
          <w:szCs w:val="28"/>
        </w:rPr>
      </w:pPr>
      <w:r>
        <w:rPr>
          <w:rFonts w:hint="eastAsia" w:ascii="宋体" w:hAnsi="宋体" w:cs="宋体"/>
          <w:b/>
          <w:bCs/>
          <w:kern w:val="0"/>
          <w:sz w:val="28"/>
          <w:szCs w:val="28"/>
          <w:lang w:val="zh-CN"/>
        </w:rPr>
        <w:t>一</w:t>
      </w:r>
      <w:r>
        <w:rPr>
          <w:rFonts w:hint="eastAsia" w:ascii="宋体" w:hAnsi="宋体"/>
          <w:b/>
          <w:sz w:val="25"/>
          <w:szCs w:val="25"/>
          <w:lang w:val="zh-CN"/>
        </w:rPr>
        <w:t>、</w:t>
      </w:r>
      <w:r>
        <w:rPr>
          <w:rFonts w:hint="eastAsia" w:ascii="宋体" w:hAnsi="宋体"/>
          <w:b/>
          <w:sz w:val="25"/>
          <w:szCs w:val="25"/>
        </w:rPr>
        <w:t xml:space="preserve">资审文件 </w:t>
      </w:r>
      <w:r>
        <w:rPr>
          <w:rFonts w:hint="eastAsia" w:ascii="宋体" w:hAnsi="宋体"/>
          <w:b/>
          <w:sz w:val="25"/>
          <w:szCs w:val="25"/>
          <w:lang w:val="zh-CN"/>
        </w:rPr>
        <w:t>（不能出现</w:t>
      </w:r>
      <w:r>
        <w:rPr>
          <w:rFonts w:hint="eastAsia" w:ascii="宋体" w:hAnsi="宋体"/>
          <w:b/>
          <w:sz w:val="25"/>
          <w:szCs w:val="25"/>
        </w:rPr>
        <w:t>商务</w:t>
      </w:r>
      <w:r>
        <w:rPr>
          <w:rFonts w:hint="eastAsia" w:ascii="宋体" w:hAnsi="宋体" w:cs="宋体"/>
          <w:b/>
          <w:bCs/>
          <w:kern w:val="0"/>
          <w:sz w:val="24"/>
          <w:szCs w:val="24"/>
          <w:lang w:val="zh-CN"/>
        </w:rPr>
        <w:t>技术标</w:t>
      </w:r>
      <w:r>
        <w:rPr>
          <w:rFonts w:hint="eastAsia" w:ascii="宋体" w:hAnsi="宋体" w:cs="宋体"/>
          <w:b/>
          <w:bCs/>
          <w:kern w:val="0"/>
          <w:sz w:val="24"/>
          <w:szCs w:val="24"/>
        </w:rPr>
        <w:t>文件</w:t>
      </w:r>
      <w:r>
        <w:rPr>
          <w:rFonts w:hint="eastAsia" w:ascii="宋体" w:hAnsi="宋体" w:cs="宋体"/>
          <w:b/>
          <w:bCs/>
          <w:kern w:val="0"/>
          <w:sz w:val="24"/>
          <w:szCs w:val="24"/>
          <w:lang w:val="zh-CN"/>
        </w:rPr>
        <w:t>、</w:t>
      </w:r>
      <w:r>
        <w:rPr>
          <w:rFonts w:hint="eastAsia" w:ascii="宋体" w:hAnsi="宋体"/>
          <w:b/>
          <w:sz w:val="25"/>
          <w:szCs w:val="25"/>
        </w:rPr>
        <w:t>经济</w:t>
      </w:r>
      <w:r>
        <w:rPr>
          <w:rFonts w:hint="eastAsia" w:ascii="宋体" w:hAnsi="宋体"/>
          <w:b/>
          <w:sz w:val="25"/>
          <w:szCs w:val="25"/>
          <w:lang w:val="zh-CN"/>
        </w:rPr>
        <w:t>标</w:t>
      </w:r>
      <w:r>
        <w:rPr>
          <w:rFonts w:hint="eastAsia" w:ascii="宋体" w:hAnsi="宋体"/>
          <w:b/>
          <w:sz w:val="25"/>
          <w:szCs w:val="25"/>
        </w:rPr>
        <w:t>文件</w:t>
      </w:r>
      <w:r>
        <w:rPr>
          <w:rFonts w:hint="eastAsia" w:ascii="宋体" w:hAnsi="宋体"/>
          <w:b/>
          <w:sz w:val="25"/>
          <w:szCs w:val="25"/>
          <w:lang w:val="zh-CN"/>
        </w:rPr>
        <w:t>）</w:t>
      </w:r>
    </w:p>
    <w:p w14:paraId="1148014F">
      <w:pPr>
        <w:adjustRightInd w:val="0"/>
        <w:snapToGrid w:val="0"/>
        <w:spacing w:line="400" w:lineRule="exact"/>
        <w:ind w:firstLine="482"/>
        <w:jc w:val="left"/>
        <w:rPr>
          <w:rFonts w:hint="eastAsia" w:ascii="宋体" w:hAnsi="宋体"/>
          <w:bCs/>
          <w:sz w:val="24"/>
          <w:szCs w:val="24"/>
        </w:rPr>
      </w:pPr>
      <w:r>
        <w:rPr>
          <w:rFonts w:hint="eastAsia" w:ascii="宋体" w:hAnsi="宋体"/>
          <w:bCs/>
          <w:sz w:val="24"/>
          <w:szCs w:val="24"/>
        </w:rPr>
        <w:t>1.有效的企业法人营业执照；</w:t>
      </w:r>
    </w:p>
    <w:p w14:paraId="1266E3CE">
      <w:pPr>
        <w:adjustRightInd w:val="0"/>
        <w:snapToGrid w:val="0"/>
        <w:spacing w:line="400" w:lineRule="exact"/>
        <w:ind w:firstLine="482"/>
        <w:jc w:val="left"/>
        <w:rPr>
          <w:rFonts w:hint="eastAsia" w:ascii="宋体" w:hAnsi="宋体"/>
          <w:bCs/>
          <w:sz w:val="24"/>
          <w:szCs w:val="24"/>
        </w:rPr>
      </w:pPr>
      <w:r>
        <w:rPr>
          <w:rFonts w:hint="eastAsia" w:ascii="宋体" w:hAnsi="宋体"/>
          <w:bCs/>
          <w:sz w:val="24"/>
          <w:szCs w:val="24"/>
        </w:rPr>
        <w:t>2.投标函（格式见附件1）；</w:t>
      </w:r>
    </w:p>
    <w:p w14:paraId="103E20D8">
      <w:pPr>
        <w:adjustRightInd w:val="0"/>
        <w:snapToGrid w:val="0"/>
        <w:spacing w:line="400" w:lineRule="exact"/>
        <w:ind w:firstLine="482"/>
        <w:jc w:val="left"/>
        <w:rPr>
          <w:rFonts w:hint="eastAsia" w:ascii="宋体" w:hAnsi="宋体"/>
          <w:bCs/>
          <w:sz w:val="24"/>
          <w:szCs w:val="24"/>
        </w:rPr>
      </w:pPr>
      <w:r>
        <w:rPr>
          <w:rFonts w:hint="eastAsia" w:ascii="宋体" w:hAnsi="宋体"/>
          <w:bCs/>
          <w:sz w:val="24"/>
          <w:szCs w:val="24"/>
        </w:rPr>
        <w:t>3.法定代表人身份证明书和法定代表人授权书（如有授权，格式见附件2）；</w:t>
      </w:r>
    </w:p>
    <w:p w14:paraId="3A7EAB20">
      <w:pPr>
        <w:adjustRightInd w:val="0"/>
        <w:snapToGrid w:val="0"/>
        <w:spacing w:line="400" w:lineRule="exact"/>
        <w:ind w:firstLine="482"/>
        <w:jc w:val="left"/>
        <w:rPr>
          <w:rFonts w:hint="eastAsia" w:ascii="宋体" w:hAnsi="宋体"/>
          <w:bCs/>
          <w:sz w:val="24"/>
          <w:szCs w:val="24"/>
        </w:rPr>
      </w:pPr>
      <w:r>
        <w:rPr>
          <w:rFonts w:hint="eastAsia" w:ascii="宋体" w:hAnsi="宋体"/>
          <w:bCs/>
          <w:sz w:val="24"/>
          <w:szCs w:val="24"/>
        </w:rPr>
        <w:t>4.</w:t>
      </w:r>
      <w:r>
        <w:rPr>
          <w:rFonts w:hint="eastAsia"/>
          <w:sz w:val="24"/>
          <w:szCs w:val="24"/>
          <w:lang w:val="zh-CN"/>
        </w:rPr>
        <w:t>投标人情况一览表</w:t>
      </w:r>
      <w:r>
        <w:rPr>
          <w:rFonts w:hint="eastAsia" w:ascii="宋体" w:hAnsi="宋体"/>
          <w:bCs/>
          <w:sz w:val="24"/>
          <w:szCs w:val="24"/>
        </w:rPr>
        <w:t>（格式见附件3）；</w:t>
      </w:r>
    </w:p>
    <w:p w14:paraId="2877CE5B">
      <w:pPr>
        <w:adjustRightInd w:val="0"/>
        <w:snapToGrid w:val="0"/>
        <w:spacing w:line="400" w:lineRule="exact"/>
        <w:ind w:firstLine="482"/>
        <w:jc w:val="left"/>
        <w:rPr>
          <w:rFonts w:hint="eastAsia" w:ascii="宋体" w:hAnsi="宋体"/>
          <w:bCs/>
          <w:sz w:val="24"/>
          <w:szCs w:val="24"/>
        </w:rPr>
      </w:pPr>
      <w:r>
        <w:rPr>
          <w:rFonts w:hint="eastAsia" w:ascii="宋体" w:hAnsi="宋体"/>
          <w:bCs/>
          <w:sz w:val="24"/>
          <w:szCs w:val="24"/>
        </w:rPr>
        <w:t>5.参加采购活动前 3 年内在经营活动中没有重大违法记录的书面声明（格式见附件4）；</w:t>
      </w:r>
    </w:p>
    <w:p w14:paraId="173449D6">
      <w:pPr>
        <w:adjustRightInd w:val="0"/>
        <w:snapToGrid w:val="0"/>
        <w:spacing w:line="400" w:lineRule="exact"/>
        <w:ind w:firstLine="482"/>
        <w:jc w:val="left"/>
        <w:rPr>
          <w:rFonts w:hint="eastAsia" w:ascii="宋体" w:hAnsi="宋体" w:cs="宋体"/>
          <w:kern w:val="0"/>
          <w:sz w:val="24"/>
          <w:szCs w:val="24"/>
        </w:rPr>
      </w:pPr>
      <w:r>
        <w:rPr>
          <w:rFonts w:hint="eastAsia" w:ascii="宋体" w:hAnsi="宋体" w:cs="宋体"/>
          <w:kern w:val="0"/>
          <w:sz w:val="24"/>
          <w:szCs w:val="24"/>
        </w:rPr>
        <w:t>6.投标信用承诺书（格式见附件5）；</w:t>
      </w:r>
    </w:p>
    <w:p w14:paraId="4C0142E0">
      <w:pPr>
        <w:adjustRightInd w:val="0"/>
        <w:snapToGrid w:val="0"/>
        <w:spacing w:line="400" w:lineRule="exact"/>
        <w:ind w:firstLine="482"/>
        <w:jc w:val="left"/>
        <w:rPr>
          <w:rFonts w:hint="eastAsia" w:ascii="宋体" w:hAnsi="宋体" w:cs="宋体"/>
          <w:kern w:val="0"/>
          <w:sz w:val="24"/>
          <w:szCs w:val="24"/>
        </w:rPr>
      </w:pPr>
      <w:r>
        <w:rPr>
          <w:rFonts w:hint="eastAsia" w:ascii="宋体" w:hAnsi="宋体" w:cs="宋体"/>
          <w:kern w:val="0"/>
          <w:sz w:val="24"/>
          <w:szCs w:val="24"/>
        </w:rPr>
        <w:t>7.商务条款响应及偏离表（格式附件6）；</w:t>
      </w:r>
    </w:p>
    <w:p w14:paraId="676F64B0">
      <w:pPr>
        <w:adjustRightInd w:val="0"/>
        <w:snapToGrid w:val="0"/>
        <w:spacing w:line="400" w:lineRule="exact"/>
        <w:ind w:firstLine="482"/>
        <w:jc w:val="left"/>
        <w:rPr>
          <w:rFonts w:hint="eastAsia" w:ascii="宋体" w:hAnsi="宋体" w:cs="宋体"/>
          <w:kern w:val="0"/>
          <w:sz w:val="24"/>
          <w:szCs w:val="24"/>
          <w:lang w:val="zh-CN"/>
        </w:rPr>
      </w:pPr>
      <w:r>
        <w:rPr>
          <w:rFonts w:hint="eastAsia" w:ascii="宋体" w:hAnsi="宋体" w:cs="宋体"/>
          <w:kern w:val="0"/>
          <w:sz w:val="24"/>
          <w:szCs w:val="24"/>
        </w:rPr>
        <w:t>8.根据招标公告中“申请人的资格要求”的要求</w:t>
      </w:r>
      <w:r>
        <w:rPr>
          <w:rFonts w:hint="eastAsia" w:ascii="宋体" w:hAnsi="宋体" w:cs="宋体"/>
          <w:kern w:val="0"/>
          <w:sz w:val="24"/>
          <w:szCs w:val="24"/>
          <w:lang w:val="zh-CN"/>
        </w:rPr>
        <w:t>提供相应的佐证材料；</w:t>
      </w:r>
    </w:p>
    <w:p w14:paraId="3776A18F">
      <w:pPr>
        <w:adjustRightInd w:val="0"/>
        <w:snapToGrid w:val="0"/>
        <w:spacing w:line="400" w:lineRule="exact"/>
        <w:ind w:firstLine="482"/>
        <w:jc w:val="left"/>
        <w:rPr>
          <w:rFonts w:hint="eastAsia" w:ascii="宋体" w:hAnsi="宋体" w:cs="宋体"/>
          <w:kern w:val="0"/>
          <w:sz w:val="24"/>
          <w:szCs w:val="24"/>
        </w:rPr>
      </w:pPr>
      <w:r>
        <w:rPr>
          <w:rFonts w:hint="eastAsia" w:ascii="宋体" w:hAnsi="宋体" w:cs="宋体"/>
          <w:kern w:val="0"/>
          <w:sz w:val="24"/>
          <w:szCs w:val="24"/>
        </w:rPr>
        <w:t>9.提供保安人员的配备一览表及其中一名保安人员的中级消防证证书；</w:t>
      </w:r>
    </w:p>
    <w:p w14:paraId="5D20BAD2">
      <w:pPr>
        <w:adjustRightInd w:val="0"/>
        <w:snapToGrid w:val="0"/>
        <w:spacing w:line="400" w:lineRule="exact"/>
        <w:ind w:firstLine="482"/>
        <w:jc w:val="left"/>
        <w:rPr>
          <w:rFonts w:hint="eastAsia" w:ascii="宋体" w:hAnsi="宋体"/>
          <w:bCs/>
          <w:sz w:val="24"/>
          <w:szCs w:val="24"/>
        </w:rPr>
      </w:pPr>
      <w:r>
        <w:rPr>
          <w:rFonts w:hint="eastAsia" w:ascii="宋体" w:hAnsi="宋体"/>
          <w:bCs/>
          <w:sz w:val="24"/>
          <w:szCs w:val="24"/>
        </w:rPr>
        <w:t>10.投标供应商认为需要提供的其他材料。</w:t>
      </w:r>
    </w:p>
    <w:p w14:paraId="4BABFC41">
      <w:pPr>
        <w:adjustRightInd w:val="0"/>
        <w:snapToGrid w:val="0"/>
        <w:spacing w:line="400" w:lineRule="exact"/>
        <w:ind w:firstLine="482"/>
        <w:jc w:val="left"/>
        <w:rPr>
          <w:rFonts w:hint="eastAsia" w:ascii="宋体" w:hAnsi="宋体"/>
          <w:b/>
          <w:sz w:val="24"/>
          <w:szCs w:val="24"/>
        </w:rPr>
      </w:pPr>
      <w:r>
        <w:rPr>
          <w:rFonts w:hint="eastAsia" w:ascii="宋体" w:hAnsi="宋体"/>
          <w:b/>
          <w:sz w:val="24"/>
          <w:szCs w:val="24"/>
        </w:rPr>
        <w:t>注：1.提供以上扫描件加盖电子签章或复印件加盖红色实物公章；</w:t>
      </w:r>
    </w:p>
    <w:p w14:paraId="1FF92E05">
      <w:pPr>
        <w:adjustRightInd w:val="0"/>
        <w:snapToGrid w:val="0"/>
        <w:spacing w:line="400" w:lineRule="exact"/>
        <w:ind w:firstLine="482"/>
        <w:jc w:val="left"/>
        <w:rPr>
          <w:rFonts w:hint="eastAsia" w:ascii="宋体" w:hAnsi="宋体"/>
          <w:b/>
          <w:sz w:val="24"/>
          <w:szCs w:val="24"/>
        </w:rPr>
      </w:pPr>
      <w:r>
        <w:rPr>
          <w:rFonts w:hint="eastAsia" w:ascii="宋体" w:hAnsi="宋体"/>
          <w:b/>
          <w:sz w:val="24"/>
          <w:szCs w:val="24"/>
        </w:rPr>
        <w:t>2.资审文件须按以上1-9项顺序以PDF 格式上传至系统内相应位置：“资格审查文件”上传至“资审文件”内，资格审查不合格的响应供应商，其“技术标”、“经济标”不参加评审。</w:t>
      </w:r>
    </w:p>
    <w:p w14:paraId="35673894">
      <w:pPr>
        <w:numPr>
          <w:ilvl w:val="0"/>
          <w:numId w:val="2"/>
        </w:numPr>
        <w:spacing w:line="400" w:lineRule="exact"/>
        <w:rPr>
          <w:rFonts w:hint="eastAsia" w:ascii="宋体" w:hAnsi="宋体" w:cs="宋体"/>
          <w:bCs/>
          <w:sz w:val="24"/>
          <w:szCs w:val="24"/>
          <w:lang w:val="zh-CN"/>
        </w:rPr>
      </w:pPr>
      <w:r>
        <w:rPr>
          <w:rFonts w:hint="eastAsia" w:ascii="宋体" w:hAnsi="宋体" w:cs="宋体"/>
          <w:b/>
          <w:bCs/>
          <w:sz w:val="24"/>
          <w:szCs w:val="24"/>
        </w:rPr>
        <w:t>商务</w:t>
      </w:r>
      <w:r>
        <w:rPr>
          <w:rFonts w:hint="eastAsia" w:ascii="宋体" w:hAnsi="宋体" w:cs="宋体"/>
          <w:b/>
          <w:bCs/>
          <w:sz w:val="24"/>
          <w:szCs w:val="24"/>
          <w:lang w:val="zh-CN"/>
        </w:rPr>
        <w:t>技术标（不能出现价格标）</w:t>
      </w:r>
    </w:p>
    <w:p w14:paraId="53F25989">
      <w:pPr>
        <w:spacing w:line="400" w:lineRule="exact"/>
        <w:ind w:firstLine="480" w:firstLineChars="200"/>
        <w:rPr>
          <w:sz w:val="24"/>
          <w:szCs w:val="24"/>
          <w:lang w:val="zh-CN"/>
        </w:rPr>
      </w:pPr>
      <w:r>
        <w:rPr>
          <w:rFonts w:hint="eastAsia"/>
          <w:sz w:val="24"/>
          <w:szCs w:val="24"/>
        </w:rPr>
        <w:t>1.</w:t>
      </w:r>
      <w:r>
        <w:rPr>
          <w:rFonts w:hint="eastAsia"/>
          <w:sz w:val="24"/>
          <w:szCs w:val="24"/>
          <w:lang w:val="zh-CN"/>
        </w:rPr>
        <w:t>商务技术评分标准中须提供的相关得分佐证材料；</w:t>
      </w:r>
    </w:p>
    <w:p w14:paraId="1361B975">
      <w:pPr>
        <w:spacing w:line="400" w:lineRule="exact"/>
        <w:ind w:firstLine="480" w:firstLineChars="200"/>
        <w:rPr>
          <w:sz w:val="24"/>
          <w:szCs w:val="24"/>
          <w:lang w:val="zh-CN"/>
        </w:rPr>
      </w:pPr>
      <w:r>
        <w:rPr>
          <w:rFonts w:hint="eastAsia" w:ascii="宋体" w:hAnsi="宋体" w:cs="宋体"/>
          <w:bCs/>
          <w:sz w:val="24"/>
          <w:szCs w:val="24"/>
        </w:rPr>
        <w:t>2</w:t>
      </w:r>
      <w:r>
        <w:rPr>
          <w:rFonts w:hint="eastAsia" w:ascii="宋体" w:hAnsi="宋体" w:cs="宋体"/>
          <w:bCs/>
          <w:sz w:val="24"/>
          <w:szCs w:val="24"/>
          <w:lang w:val="zh-CN"/>
        </w:rPr>
        <w:t>.投标人认为需要提交的其他商务技术材料。</w:t>
      </w:r>
    </w:p>
    <w:p w14:paraId="27148B6E">
      <w:pPr>
        <w:pStyle w:val="6"/>
        <w:spacing w:line="400" w:lineRule="exact"/>
        <w:rPr>
          <w:szCs w:val="24"/>
          <w:lang w:val="zh-CN"/>
        </w:rPr>
      </w:pPr>
      <w:r>
        <w:rPr>
          <w:rFonts w:hint="eastAsia" w:ascii="宋体" w:hAnsi="宋体" w:cs="宋体"/>
          <w:szCs w:val="24"/>
          <w:lang w:val="zh-CN"/>
        </w:rPr>
        <w:t>（为方便评委评审，请供应商按评审办法中所涉及的事项顺序进行编制，可以补充相关材料；）</w:t>
      </w:r>
    </w:p>
    <w:p w14:paraId="5A35D134">
      <w:pPr>
        <w:pStyle w:val="7"/>
        <w:tabs>
          <w:tab w:val="left" w:pos="1000"/>
        </w:tabs>
        <w:snapToGrid w:val="0"/>
        <w:spacing w:line="400" w:lineRule="exact"/>
        <w:ind w:firstLine="422"/>
        <w:rPr>
          <w:rFonts w:hint="eastAsia" w:ascii="宋体" w:hAnsi="宋体"/>
          <w:b/>
          <w:bCs/>
          <w:color w:val="000000"/>
          <w:kern w:val="1"/>
          <w:sz w:val="25"/>
          <w:szCs w:val="25"/>
        </w:rPr>
      </w:pPr>
      <w:r>
        <w:rPr>
          <w:rFonts w:hint="eastAsia" w:ascii="宋体" w:hAnsi="宋体"/>
          <w:b/>
          <w:bCs/>
          <w:color w:val="000000"/>
          <w:kern w:val="1"/>
          <w:sz w:val="25"/>
          <w:szCs w:val="25"/>
        </w:rPr>
        <w:t>注：1.商务技术标</w:t>
      </w:r>
      <w:r>
        <w:rPr>
          <w:rFonts w:hint="eastAsia" w:ascii="宋体" w:hAnsi="宋体"/>
          <w:b/>
          <w:bCs/>
          <w:color w:val="000000"/>
          <w:kern w:val="1"/>
          <w:sz w:val="25"/>
          <w:szCs w:val="25"/>
          <w:lang w:val="en-US" w:eastAsia="zh-CN"/>
        </w:rPr>
        <w:t>按</w:t>
      </w:r>
      <w:r>
        <w:rPr>
          <w:rFonts w:hint="eastAsia" w:ascii="宋体" w:hAnsi="宋体"/>
          <w:b/>
          <w:bCs/>
          <w:color w:val="000000"/>
          <w:kern w:val="1"/>
          <w:sz w:val="25"/>
          <w:szCs w:val="25"/>
          <w:lang w:val="zh-CN"/>
        </w:rPr>
        <w:t>商务技术评分标准</w:t>
      </w:r>
      <w:r>
        <w:rPr>
          <w:rFonts w:hint="eastAsia" w:ascii="宋体" w:hAnsi="宋体"/>
          <w:b/>
          <w:bCs/>
          <w:color w:val="000000"/>
          <w:kern w:val="1"/>
          <w:sz w:val="25"/>
          <w:szCs w:val="25"/>
        </w:rPr>
        <w:t>表</w:t>
      </w:r>
      <w:r>
        <w:rPr>
          <w:rFonts w:hint="eastAsia" w:ascii="宋体" w:hAnsi="宋体"/>
          <w:b/>
          <w:bCs/>
          <w:color w:val="000000"/>
          <w:kern w:val="1"/>
          <w:sz w:val="25"/>
          <w:szCs w:val="25"/>
          <w:lang w:val="zh-CN"/>
        </w:rPr>
        <w:t>中“</w:t>
      </w:r>
      <w:r>
        <w:rPr>
          <w:rFonts w:hint="eastAsia" w:ascii="宋体" w:hAnsi="宋体"/>
          <w:b/>
          <w:bCs/>
          <w:color w:val="000000"/>
          <w:kern w:val="1"/>
          <w:sz w:val="25"/>
          <w:szCs w:val="25"/>
        </w:rPr>
        <w:t>序号</w:t>
      </w:r>
      <w:r>
        <w:rPr>
          <w:rFonts w:hint="eastAsia" w:ascii="宋体" w:hAnsi="宋体"/>
          <w:b/>
          <w:bCs/>
          <w:color w:val="000000"/>
          <w:kern w:val="1"/>
          <w:sz w:val="25"/>
          <w:szCs w:val="25"/>
          <w:lang w:val="en-US" w:eastAsia="zh-CN"/>
        </w:rPr>
        <w:t>2-5</w:t>
      </w:r>
      <w:r>
        <w:rPr>
          <w:rFonts w:hint="eastAsia" w:ascii="宋体" w:hAnsi="宋体"/>
          <w:b/>
          <w:bCs/>
          <w:color w:val="000000"/>
          <w:kern w:val="1"/>
          <w:sz w:val="25"/>
          <w:szCs w:val="25"/>
        </w:rPr>
        <w:t>”必须按顺序以PDF 格式上传至系统内相应位置：“商务技术标”上传至“资信业绩内”内；商务技术标按</w:t>
      </w:r>
      <w:r>
        <w:rPr>
          <w:rFonts w:hint="eastAsia" w:ascii="宋体" w:hAnsi="宋体"/>
          <w:b/>
          <w:bCs/>
          <w:color w:val="000000"/>
          <w:kern w:val="1"/>
          <w:sz w:val="25"/>
          <w:szCs w:val="25"/>
          <w:lang w:val="zh-CN"/>
        </w:rPr>
        <w:t>商务技术评分标准</w:t>
      </w:r>
      <w:r>
        <w:rPr>
          <w:rFonts w:hint="eastAsia" w:ascii="宋体" w:hAnsi="宋体"/>
          <w:b/>
          <w:bCs/>
          <w:color w:val="000000"/>
          <w:kern w:val="1"/>
          <w:sz w:val="25"/>
          <w:szCs w:val="25"/>
        </w:rPr>
        <w:t>表</w:t>
      </w:r>
      <w:r>
        <w:rPr>
          <w:rFonts w:hint="eastAsia" w:ascii="宋体" w:hAnsi="宋体"/>
          <w:b/>
          <w:bCs/>
          <w:color w:val="000000"/>
          <w:kern w:val="1"/>
          <w:sz w:val="25"/>
          <w:szCs w:val="25"/>
          <w:lang w:val="zh-CN"/>
        </w:rPr>
        <w:t>中“</w:t>
      </w:r>
      <w:r>
        <w:rPr>
          <w:rFonts w:hint="eastAsia" w:ascii="宋体" w:hAnsi="宋体"/>
          <w:b/>
          <w:bCs/>
          <w:color w:val="000000"/>
          <w:kern w:val="1"/>
          <w:sz w:val="25"/>
          <w:szCs w:val="25"/>
        </w:rPr>
        <w:t>序号</w:t>
      </w:r>
      <w:r>
        <w:rPr>
          <w:rFonts w:hint="eastAsia" w:ascii="宋体" w:hAnsi="宋体"/>
          <w:b/>
          <w:bCs/>
          <w:color w:val="000000"/>
          <w:kern w:val="1"/>
          <w:sz w:val="25"/>
          <w:szCs w:val="25"/>
          <w:lang w:val="en-US" w:eastAsia="zh-CN"/>
        </w:rPr>
        <w:t>1</w:t>
      </w:r>
      <w:r>
        <w:rPr>
          <w:rFonts w:hint="eastAsia" w:ascii="宋体" w:hAnsi="宋体"/>
          <w:b/>
          <w:bCs/>
          <w:color w:val="000000"/>
          <w:kern w:val="1"/>
          <w:sz w:val="25"/>
          <w:szCs w:val="25"/>
        </w:rPr>
        <w:t>”以PDF格式上传至系统内相应位置：“商务技术标”上传至“设计方案”内，具体操作流程详见《操作手册》。</w:t>
      </w:r>
    </w:p>
    <w:p w14:paraId="5DA7945A">
      <w:pPr>
        <w:pStyle w:val="7"/>
        <w:tabs>
          <w:tab w:val="left" w:pos="1000"/>
        </w:tabs>
        <w:snapToGrid w:val="0"/>
        <w:spacing w:line="400" w:lineRule="exact"/>
        <w:ind w:firstLine="753" w:firstLineChars="300"/>
        <w:rPr>
          <w:rFonts w:hint="eastAsia" w:ascii="宋体" w:hAnsi="宋体"/>
          <w:b/>
          <w:sz w:val="25"/>
          <w:szCs w:val="25"/>
        </w:rPr>
      </w:pPr>
      <w:r>
        <w:rPr>
          <w:rFonts w:hint="eastAsia" w:ascii="宋体" w:hAnsi="宋体"/>
          <w:b/>
          <w:bCs/>
          <w:color w:val="000000"/>
          <w:kern w:val="1"/>
          <w:sz w:val="25"/>
          <w:szCs w:val="25"/>
        </w:rPr>
        <w:t>2.投标文件中未提供评分标准中涉及的资料扫描件加盖电子签章或复印件加盖红色实物公章，相应条款不得分。</w:t>
      </w:r>
    </w:p>
    <w:p w14:paraId="00F32015">
      <w:pPr>
        <w:adjustRightInd w:val="0"/>
        <w:snapToGrid w:val="0"/>
        <w:spacing w:line="400" w:lineRule="exact"/>
        <w:rPr>
          <w:rFonts w:hint="eastAsia" w:ascii="宋体" w:hAnsi="宋体"/>
          <w:b/>
          <w:sz w:val="25"/>
          <w:szCs w:val="25"/>
        </w:rPr>
      </w:pPr>
      <w:r>
        <w:rPr>
          <w:rFonts w:hint="eastAsia" w:ascii="宋体" w:hAnsi="宋体"/>
          <w:b/>
          <w:sz w:val="25"/>
          <w:szCs w:val="25"/>
        </w:rPr>
        <w:t>三、经济标文件（不能出现资审文件）</w:t>
      </w:r>
    </w:p>
    <w:p w14:paraId="0A2281E0">
      <w:pPr>
        <w:adjustRightInd w:val="0"/>
        <w:snapToGrid w:val="0"/>
        <w:spacing w:line="400" w:lineRule="exact"/>
        <w:ind w:firstLine="482"/>
        <w:jc w:val="left"/>
        <w:rPr>
          <w:rFonts w:hint="eastAsia" w:ascii="宋体" w:hAnsi="宋体"/>
          <w:bCs/>
          <w:sz w:val="24"/>
          <w:szCs w:val="24"/>
        </w:rPr>
      </w:pPr>
      <w:r>
        <w:rPr>
          <w:rFonts w:hint="eastAsia" w:ascii="宋体" w:hAnsi="宋体"/>
          <w:bCs/>
          <w:sz w:val="24"/>
          <w:szCs w:val="24"/>
        </w:rPr>
        <w:t>开标一览表（格式见附件7）</w:t>
      </w:r>
    </w:p>
    <w:p w14:paraId="68DD2359">
      <w:pPr>
        <w:adjustRightInd w:val="0"/>
        <w:snapToGrid w:val="0"/>
        <w:spacing w:line="400" w:lineRule="exact"/>
        <w:ind w:firstLine="482"/>
        <w:jc w:val="left"/>
        <w:rPr>
          <w:rFonts w:hint="eastAsia" w:ascii="宋体" w:hAnsi="宋体"/>
          <w:b/>
          <w:sz w:val="24"/>
          <w:szCs w:val="24"/>
        </w:rPr>
      </w:pPr>
      <w:r>
        <w:rPr>
          <w:rFonts w:hint="eastAsia" w:ascii="宋体" w:hAnsi="宋体"/>
          <w:b/>
          <w:sz w:val="24"/>
          <w:szCs w:val="24"/>
        </w:rPr>
        <w:t>注：1.提供以上扫描件加盖电子签章或复印件加盖红色实物公章；</w:t>
      </w:r>
    </w:p>
    <w:p w14:paraId="06A202C9">
      <w:pPr>
        <w:adjustRightInd w:val="0"/>
        <w:snapToGrid w:val="0"/>
        <w:spacing w:line="400" w:lineRule="exact"/>
        <w:ind w:firstLine="482"/>
        <w:jc w:val="left"/>
        <w:rPr>
          <w:rFonts w:hint="eastAsia" w:ascii="宋体" w:hAnsi="宋体"/>
          <w:b/>
          <w:sz w:val="24"/>
          <w:szCs w:val="24"/>
        </w:rPr>
      </w:pPr>
      <w:r>
        <w:rPr>
          <w:rFonts w:hint="eastAsia" w:ascii="宋体" w:hAnsi="宋体"/>
          <w:b/>
          <w:sz w:val="24"/>
          <w:szCs w:val="24"/>
        </w:rPr>
        <w:t>2.经济标文件以 PDF 格式上传至系统内相应位置：“经济标文件”按要求上传至“经济标文件”里的投标函内，具体操作流程详见《操作手册》。</w:t>
      </w:r>
    </w:p>
    <w:p w14:paraId="105194F7">
      <w:pPr>
        <w:spacing w:line="400" w:lineRule="exact"/>
      </w:pPr>
    </w:p>
    <w:p w14:paraId="24CC8732">
      <w:pPr>
        <w:spacing w:line="400" w:lineRule="exact"/>
      </w:pPr>
    </w:p>
    <w:p w14:paraId="556B5D3C">
      <w:pPr>
        <w:spacing w:line="400" w:lineRule="exact"/>
        <w:ind w:firstLine="1446"/>
        <w:jc w:val="center"/>
        <w:rPr>
          <w:rFonts w:hint="eastAsia" w:ascii="宋体" w:hAnsi="宋体" w:cs="宋体"/>
          <w:b/>
          <w:bCs/>
          <w:sz w:val="36"/>
          <w:szCs w:val="36"/>
          <w:lang w:val="zh-CN"/>
        </w:rPr>
      </w:pPr>
      <w:r>
        <w:rPr>
          <w:rFonts w:hint="eastAsia" w:ascii="宋体" w:hAnsi="宋体" w:cs="宋体"/>
          <w:b/>
          <w:bCs/>
          <w:sz w:val="36"/>
          <w:szCs w:val="36"/>
          <w:lang w:val="zh-CN"/>
        </w:rPr>
        <w:t xml:space="preserve">                 </w:t>
      </w:r>
    </w:p>
    <w:p w14:paraId="12E498FF">
      <w:pPr>
        <w:spacing w:line="400" w:lineRule="exact"/>
        <w:ind w:firstLine="1446"/>
        <w:jc w:val="center"/>
        <w:rPr>
          <w:rFonts w:hint="eastAsia" w:ascii="宋体" w:hAnsi="宋体" w:cs="宋体"/>
          <w:b/>
          <w:bCs/>
          <w:sz w:val="36"/>
          <w:szCs w:val="36"/>
          <w:lang w:val="zh-CN"/>
        </w:rPr>
      </w:pPr>
    </w:p>
    <w:p w14:paraId="66CE2C13">
      <w:pPr>
        <w:spacing w:line="400" w:lineRule="exact"/>
        <w:ind w:firstLine="1446"/>
        <w:jc w:val="center"/>
        <w:rPr>
          <w:rFonts w:hint="eastAsia" w:ascii="宋体" w:hAnsi="宋体" w:cs="宋体"/>
          <w:b/>
          <w:bCs/>
          <w:sz w:val="36"/>
          <w:szCs w:val="36"/>
          <w:lang w:val="zh-CN"/>
        </w:rPr>
      </w:pPr>
      <w:r>
        <w:rPr>
          <w:rFonts w:hint="eastAsia" w:ascii="宋体" w:hAnsi="宋体" w:cs="宋体"/>
          <w:b/>
          <w:bCs/>
          <w:sz w:val="36"/>
          <w:szCs w:val="36"/>
          <w:lang w:val="zh-CN"/>
        </w:rPr>
        <w:t xml:space="preserve">  </w:t>
      </w:r>
      <w:r>
        <w:rPr>
          <w:rFonts w:hint="eastAsia" w:ascii="宋体" w:hAnsi="宋体" w:cs="宋体"/>
          <w:b/>
          <w:bCs/>
          <w:sz w:val="36"/>
          <w:szCs w:val="36"/>
        </w:rPr>
        <w:t xml:space="preserve"> </w:t>
      </w:r>
    </w:p>
    <w:p w14:paraId="0E7DD303">
      <w:pPr>
        <w:spacing w:line="400" w:lineRule="exact"/>
        <w:rPr>
          <w:rFonts w:hint="eastAsia" w:ascii="宋体" w:hAnsi="宋体"/>
          <w:b/>
          <w:sz w:val="32"/>
          <w:szCs w:val="32"/>
        </w:rPr>
      </w:pPr>
    </w:p>
    <w:p w14:paraId="0C14C21B">
      <w:pPr>
        <w:rPr>
          <w:rFonts w:hint="eastAsia" w:ascii="宋体" w:hAnsi="宋体"/>
          <w:b/>
          <w:sz w:val="32"/>
          <w:szCs w:val="32"/>
        </w:rPr>
      </w:pPr>
    </w:p>
    <w:p w14:paraId="13673923">
      <w:pPr>
        <w:rPr>
          <w:rFonts w:hint="eastAsia" w:ascii="宋体" w:hAnsi="宋体"/>
          <w:b/>
          <w:sz w:val="32"/>
          <w:szCs w:val="32"/>
        </w:rPr>
      </w:pPr>
    </w:p>
    <w:p w14:paraId="7A07B772">
      <w:pPr>
        <w:rPr>
          <w:rFonts w:hint="eastAsia" w:ascii="宋体" w:hAnsi="宋体"/>
          <w:b/>
          <w:sz w:val="32"/>
          <w:szCs w:val="32"/>
        </w:rPr>
      </w:pPr>
    </w:p>
    <w:p w14:paraId="15159869">
      <w:pPr>
        <w:rPr>
          <w:rFonts w:hint="eastAsia" w:ascii="宋体" w:hAnsi="宋体"/>
          <w:b/>
          <w:sz w:val="32"/>
          <w:szCs w:val="32"/>
        </w:rPr>
      </w:pPr>
    </w:p>
    <w:p w14:paraId="7884C1B1">
      <w:pPr>
        <w:rPr>
          <w:rFonts w:hint="eastAsia" w:ascii="宋体" w:hAnsi="宋体"/>
          <w:b/>
          <w:sz w:val="32"/>
          <w:szCs w:val="32"/>
        </w:rPr>
      </w:pPr>
    </w:p>
    <w:p w14:paraId="1807A36E">
      <w:pPr>
        <w:rPr>
          <w:rFonts w:hint="eastAsia" w:ascii="宋体" w:hAnsi="宋体"/>
          <w:b/>
          <w:sz w:val="32"/>
          <w:szCs w:val="32"/>
        </w:rPr>
      </w:pPr>
    </w:p>
    <w:p w14:paraId="78157DD0">
      <w:pPr>
        <w:rPr>
          <w:rFonts w:hint="eastAsia" w:ascii="宋体" w:hAnsi="宋体"/>
          <w:b/>
          <w:sz w:val="32"/>
          <w:szCs w:val="32"/>
        </w:rPr>
      </w:pPr>
    </w:p>
    <w:p w14:paraId="6B888002">
      <w:pPr>
        <w:rPr>
          <w:rFonts w:hint="eastAsia" w:ascii="宋体" w:hAnsi="宋体"/>
          <w:b/>
          <w:sz w:val="32"/>
          <w:szCs w:val="32"/>
        </w:rPr>
      </w:pPr>
    </w:p>
    <w:p w14:paraId="6EA3B8D8">
      <w:pPr>
        <w:rPr>
          <w:rFonts w:hint="eastAsia" w:ascii="宋体" w:hAnsi="宋体"/>
          <w:b/>
          <w:sz w:val="32"/>
          <w:szCs w:val="32"/>
        </w:rPr>
      </w:pPr>
    </w:p>
    <w:p w14:paraId="19F73ADF">
      <w:pPr>
        <w:rPr>
          <w:rFonts w:hint="eastAsia" w:ascii="宋体" w:hAnsi="宋体"/>
          <w:b/>
          <w:sz w:val="32"/>
          <w:szCs w:val="32"/>
        </w:rPr>
      </w:pPr>
    </w:p>
    <w:p w14:paraId="3C9A2EFD">
      <w:pPr>
        <w:rPr>
          <w:rFonts w:hint="eastAsia" w:ascii="宋体" w:hAnsi="宋体"/>
          <w:b/>
          <w:sz w:val="32"/>
          <w:szCs w:val="32"/>
        </w:rPr>
      </w:pPr>
    </w:p>
    <w:p w14:paraId="02097FAC">
      <w:pPr>
        <w:rPr>
          <w:rFonts w:hint="eastAsia" w:ascii="宋体" w:hAnsi="宋体"/>
          <w:b/>
          <w:sz w:val="32"/>
          <w:szCs w:val="32"/>
        </w:rPr>
      </w:pPr>
    </w:p>
    <w:p w14:paraId="4173A235">
      <w:pPr>
        <w:rPr>
          <w:rFonts w:hint="eastAsia" w:ascii="宋体" w:hAnsi="宋体"/>
          <w:b/>
          <w:sz w:val="32"/>
          <w:szCs w:val="32"/>
        </w:rPr>
      </w:pPr>
    </w:p>
    <w:p w14:paraId="0C2291FE">
      <w:pPr>
        <w:rPr>
          <w:rFonts w:hint="eastAsia" w:ascii="宋体" w:hAnsi="宋体"/>
          <w:b/>
          <w:sz w:val="32"/>
          <w:szCs w:val="32"/>
        </w:rPr>
      </w:pPr>
    </w:p>
    <w:p w14:paraId="25477360">
      <w:pPr>
        <w:rPr>
          <w:rFonts w:hint="eastAsia" w:ascii="宋体" w:hAnsi="宋体"/>
          <w:b/>
          <w:sz w:val="32"/>
          <w:szCs w:val="32"/>
        </w:rPr>
      </w:pPr>
    </w:p>
    <w:p w14:paraId="4121E2E5">
      <w:pPr>
        <w:rPr>
          <w:rFonts w:hint="eastAsia" w:ascii="宋体" w:hAnsi="宋体"/>
          <w:b/>
          <w:sz w:val="32"/>
          <w:szCs w:val="32"/>
        </w:rPr>
      </w:pPr>
    </w:p>
    <w:p w14:paraId="4C0A4DCC">
      <w:pPr>
        <w:rPr>
          <w:rFonts w:hint="eastAsia" w:ascii="宋体" w:hAnsi="宋体"/>
          <w:b/>
          <w:sz w:val="32"/>
          <w:szCs w:val="32"/>
        </w:rPr>
      </w:pPr>
    </w:p>
    <w:p w14:paraId="42576672">
      <w:pPr>
        <w:rPr>
          <w:rFonts w:hint="eastAsia" w:ascii="宋体" w:hAnsi="宋体"/>
          <w:b/>
          <w:sz w:val="32"/>
          <w:szCs w:val="32"/>
        </w:rPr>
      </w:pPr>
    </w:p>
    <w:p w14:paraId="479E1944">
      <w:pPr>
        <w:rPr>
          <w:rFonts w:hint="eastAsia" w:ascii="宋体" w:hAnsi="宋体"/>
          <w:b/>
          <w:sz w:val="32"/>
          <w:szCs w:val="32"/>
        </w:rPr>
      </w:pPr>
    </w:p>
    <w:p w14:paraId="757B9514">
      <w:pPr>
        <w:rPr>
          <w:rFonts w:hint="eastAsia" w:ascii="宋体" w:hAnsi="宋体"/>
          <w:b/>
          <w:sz w:val="32"/>
          <w:szCs w:val="32"/>
        </w:rPr>
      </w:pPr>
    </w:p>
    <w:p w14:paraId="1EF7A239">
      <w:pPr>
        <w:rPr>
          <w:rFonts w:hint="eastAsia" w:ascii="宋体" w:hAnsi="宋体"/>
          <w:b/>
          <w:sz w:val="32"/>
          <w:szCs w:val="32"/>
        </w:rPr>
      </w:pPr>
    </w:p>
    <w:p w14:paraId="3C6B9032">
      <w:pPr>
        <w:rPr>
          <w:rFonts w:hint="eastAsia" w:ascii="宋体" w:hAnsi="宋体"/>
          <w:b/>
          <w:sz w:val="32"/>
          <w:szCs w:val="32"/>
        </w:rPr>
      </w:pPr>
    </w:p>
    <w:p w14:paraId="2A3D88CF">
      <w:pPr>
        <w:rPr>
          <w:rFonts w:hint="eastAsia" w:ascii="宋体" w:hAnsi="宋体"/>
          <w:b/>
          <w:sz w:val="32"/>
          <w:szCs w:val="32"/>
        </w:rPr>
      </w:pPr>
    </w:p>
    <w:p w14:paraId="53BE72B4">
      <w:pPr>
        <w:rPr>
          <w:rFonts w:hint="eastAsia" w:ascii="宋体" w:hAnsi="宋体"/>
          <w:b/>
          <w:sz w:val="32"/>
          <w:szCs w:val="32"/>
        </w:rPr>
      </w:pPr>
    </w:p>
    <w:p w14:paraId="2E020D5D">
      <w:pPr>
        <w:rPr>
          <w:rFonts w:hint="eastAsia" w:ascii="宋体" w:hAnsi="宋体"/>
          <w:b/>
          <w:sz w:val="32"/>
          <w:szCs w:val="32"/>
        </w:rPr>
      </w:pPr>
    </w:p>
    <w:p w14:paraId="1FC77C7B">
      <w:pPr>
        <w:rPr>
          <w:rFonts w:hint="eastAsia" w:ascii="宋体" w:hAnsi="宋体"/>
          <w:b/>
          <w:sz w:val="32"/>
          <w:szCs w:val="32"/>
        </w:rPr>
      </w:pPr>
      <w:r>
        <w:rPr>
          <w:rFonts w:hint="eastAsia" w:ascii="宋体" w:hAnsi="宋体"/>
          <w:b/>
          <w:sz w:val="32"/>
          <w:szCs w:val="32"/>
        </w:rPr>
        <w:t>附件1</w:t>
      </w:r>
    </w:p>
    <w:p w14:paraId="42FF5067">
      <w:pPr>
        <w:rPr>
          <w:rFonts w:hint="eastAsia" w:ascii="宋体" w:hAnsi="宋体"/>
          <w:b/>
          <w:sz w:val="32"/>
          <w:szCs w:val="32"/>
        </w:rPr>
      </w:pPr>
    </w:p>
    <w:p w14:paraId="57BC5177">
      <w:pPr>
        <w:spacing w:line="480" w:lineRule="exact"/>
        <w:ind w:firstLine="4338" w:firstLineChars="1500"/>
        <w:outlineLvl w:val="1"/>
        <w:rPr>
          <w:rFonts w:ascii="宋体"/>
        </w:rPr>
      </w:pPr>
      <w:r>
        <w:rPr>
          <w:rFonts w:hint="eastAsia" w:ascii="宋体" w:hAnsi="宋体"/>
          <w:b/>
          <w:spacing w:val="-6"/>
          <w:sz w:val="30"/>
          <w:szCs w:val="30"/>
        </w:rPr>
        <w:t>投 标 函</w:t>
      </w:r>
    </w:p>
    <w:p w14:paraId="6E8E1819">
      <w:pPr>
        <w:pStyle w:val="58"/>
        <w:spacing w:before="0" w:after="0" w:line="420" w:lineRule="exact"/>
        <w:ind w:firstLine="0"/>
        <w:rPr>
          <w:rFonts w:ascii="宋体"/>
          <w:sz w:val="21"/>
          <w:szCs w:val="21"/>
        </w:rPr>
      </w:pPr>
      <w:r>
        <w:rPr>
          <w:rFonts w:hint="eastAsia" w:ascii="宋体" w:hAnsi="宋体"/>
          <w:sz w:val="21"/>
          <w:szCs w:val="21"/>
        </w:rPr>
        <w:t>致：</w:t>
      </w:r>
      <w:r>
        <w:rPr>
          <w:rFonts w:hint="eastAsia" w:ascii="宋体" w:hAnsi="宋体"/>
          <w:sz w:val="21"/>
          <w:szCs w:val="21"/>
          <w:u w:val="single"/>
        </w:rPr>
        <w:t>如东水务集团有限公司</w:t>
      </w:r>
    </w:p>
    <w:p w14:paraId="5C3F5710">
      <w:pPr>
        <w:pStyle w:val="58"/>
        <w:spacing w:before="0" w:after="0" w:line="420" w:lineRule="exact"/>
        <w:rPr>
          <w:rFonts w:ascii="宋体"/>
          <w:sz w:val="21"/>
          <w:szCs w:val="21"/>
        </w:rPr>
      </w:pPr>
      <w:r>
        <w:rPr>
          <w:rFonts w:hint="eastAsia" w:ascii="宋体" w:hAnsi="宋体"/>
          <w:sz w:val="21"/>
          <w:szCs w:val="21"/>
        </w:rPr>
        <w:t xml:space="preserve">根据贵方的招标文件，正式授权 </w:t>
      </w:r>
      <w:r>
        <w:rPr>
          <w:rFonts w:hint="eastAsia" w:ascii="宋体" w:hAnsi="宋体"/>
          <w:sz w:val="21"/>
          <w:szCs w:val="21"/>
          <w:u w:val="single"/>
        </w:rPr>
        <w:t xml:space="preserve">         </w:t>
      </w:r>
      <w:r>
        <w:rPr>
          <w:rFonts w:ascii="宋体" w:hAnsi="宋体"/>
          <w:sz w:val="21"/>
          <w:szCs w:val="21"/>
        </w:rPr>
        <w:t>(</w:t>
      </w:r>
      <w:r>
        <w:rPr>
          <w:rFonts w:hint="eastAsia" w:ascii="宋体" w:hAnsi="宋体"/>
          <w:sz w:val="21"/>
          <w:szCs w:val="21"/>
        </w:rPr>
        <w:t>姓名和职务</w:t>
      </w:r>
      <w:r>
        <w:rPr>
          <w:rFonts w:ascii="宋体" w:hAnsi="宋体"/>
          <w:sz w:val="21"/>
          <w:szCs w:val="21"/>
        </w:rPr>
        <w:t>)</w:t>
      </w:r>
      <w:r>
        <w:rPr>
          <w:rFonts w:hint="eastAsia" w:ascii="宋体" w:hAnsi="宋体"/>
          <w:sz w:val="21"/>
          <w:szCs w:val="21"/>
        </w:rPr>
        <w:t>代表我方</w:t>
      </w:r>
      <w:r>
        <w:rPr>
          <w:rFonts w:hint="eastAsia" w:ascii="宋体" w:hAnsi="宋体"/>
          <w:sz w:val="21"/>
          <w:szCs w:val="21"/>
          <w:u w:val="single"/>
        </w:rPr>
        <w:t xml:space="preserve">        </w:t>
      </w:r>
      <w:r>
        <w:rPr>
          <w:rFonts w:hint="eastAsia" w:ascii="宋体" w:hAnsi="宋体"/>
          <w:sz w:val="21"/>
          <w:szCs w:val="21"/>
        </w:rPr>
        <w:t>（投标人的名称），全权处理本次项目投标的有关事宜。我方现就有关事项郑重承诺如下：</w:t>
      </w:r>
    </w:p>
    <w:p w14:paraId="04FBF4E1">
      <w:pPr>
        <w:pStyle w:val="58"/>
        <w:spacing w:before="0" w:after="0" w:line="420" w:lineRule="exact"/>
        <w:rPr>
          <w:rFonts w:ascii="宋体"/>
          <w:sz w:val="21"/>
          <w:szCs w:val="21"/>
        </w:rPr>
      </w:pPr>
      <w:r>
        <w:rPr>
          <w:rFonts w:ascii="宋体" w:hAnsi="宋体"/>
          <w:sz w:val="21"/>
          <w:szCs w:val="21"/>
        </w:rPr>
        <w:t>1.</w:t>
      </w:r>
      <w:r>
        <w:rPr>
          <w:rFonts w:hint="eastAsia" w:ascii="宋体" w:hAnsi="宋体"/>
          <w:sz w:val="21"/>
          <w:szCs w:val="21"/>
        </w:rPr>
        <w:t>按招标文件规定的各项要求，向采购人提供所需的服务。</w:t>
      </w:r>
    </w:p>
    <w:p w14:paraId="50EE1D13">
      <w:pPr>
        <w:pStyle w:val="58"/>
        <w:spacing w:before="0" w:after="0" w:line="420" w:lineRule="exact"/>
        <w:rPr>
          <w:rFonts w:ascii="宋体"/>
          <w:sz w:val="21"/>
          <w:szCs w:val="21"/>
        </w:rPr>
      </w:pPr>
      <w:r>
        <w:rPr>
          <w:rFonts w:ascii="宋体" w:hAnsi="宋体"/>
          <w:sz w:val="21"/>
          <w:szCs w:val="21"/>
        </w:rPr>
        <w:t>2.</w:t>
      </w:r>
      <w:r>
        <w:rPr>
          <w:rFonts w:hint="eastAsia" w:ascii="宋体" w:hAnsi="宋体"/>
          <w:sz w:val="21"/>
          <w:szCs w:val="21"/>
        </w:rPr>
        <w:t>我方完全理解报价最低并非意味着必定获得中标的资格。</w:t>
      </w:r>
    </w:p>
    <w:p w14:paraId="59DE4ABA">
      <w:pPr>
        <w:pStyle w:val="58"/>
        <w:spacing w:before="0" w:after="0" w:line="420" w:lineRule="exact"/>
        <w:rPr>
          <w:rFonts w:ascii="宋体"/>
          <w:sz w:val="21"/>
          <w:szCs w:val="21"/>
        </w:rPr>
      </w:pPr>
      <w:r>
        <w:rPr>
          <w:rFonts w:ascii="宋体" w:hAnsi="宋体"/>
          <w:sz w:val="21"/>
          <w:szCs w:val="21"/>
        </w:rPr>
        <w:t>3.</w:t>
      </w:r>
      <w:r>
        <w:rPr>
          <w:rFonts w:hint="eastAsia" w:ascii="宋体" w:hAnsi="宋体"/>
          <w:sz w:val="21"/>
          <w:szCs w:val="21"/>
        </w:rPr>
        <w:t>我方已详细审核全部招标文件及其有效补充文件（若有），包括投标文件修改书（如有的话）、参考资料及有关附件，确认无误。</w:t>
      </w:r>
    </w:p>
    <w:p w14:paraId="3FE59FD5">
      <w:pPr>
        <w:pStyle w:val="58"/>
        <w:spacing w:before="0" w:after="0" w:line="420" w:lineRule="exact"/>
        <w:rPr>
          <w:rFonts w:ascii="宋体"/>
          <w:sz w:val="21"/>
          <w:szCs w:val="21"/>
        </w:rPr>
      </w:pPr>
      <w:r>
        <w:rPr>
          <w:rFonts w:ascii="宋体" w:hAnsi="宋体"/>
          <w:sz w:val="21"/>
          <w:szCs w:val="21"/>
        </w:rPr>
        <w:t>4.</w:t>
      </w:r>
      <w:r>
        <w:rPr>
          <w:rFonts w:hint="eastAsia" w:ascii="宋体" w:hAnsi="宋体"/>
          <w:sz w:val="21"/>
          <w:szCs w:val="21"/>
        </w:rPr>
        <w:t>我方完全理解全部招标文件内容及相关的补充文件（若有），不存在任何误解之处，同意放弃提出异议和质疑的权利。</w:t>
      </w:r>
    </w:p>
    <w:p w14:paraId="6731752F">
      <w:pPr>
        <w:pStyle w:val="58"/>
        <w:spacing w:before="0" w:after="0" w:line="420" w:lineRule="exact"/>
        <w:rPr>
          <w:rFonts w:ascii="宋体"/>
          <w:sz w:val="21"/>
          <w:szCs w:val="21"/>
        </w:rPr>
      </w:pPr>
      <w:r>
        <w:rPr>
          <w:rFonts w:ascii="宋体" w:hAnsi="宋体"/>
          <w:sz w:val="21"/>
          <w:szCs w:val="21"/>
        </w:rPr>
        <w:t>5.</w:t>
      </w:r>
      <w:r>
        <w:rPr>
          <w:rFonts w:hint="eastAsia" w:ascii="宋体" w:hAnsi="宋体"/>
          <w:sz w:val="21"/>
          <w:szCs w:val="21"/>
        </w:rPr>
        <w:t>我方同意从规定的开标日期起遵循本投标文件，并在规定的投标有效期期满之前均具有约束力。</w:t>
      </w:r>
    </w:p>
    <w:p w14:paraId="6F697EDD">
      <w:pPr>
        <w:pStyle w:val="58"/>
        <w:spacing w:before="0" w:after="0" w:line="420" w:lineRule="exact"/>
        <w:rPr>
          <w:rFonts w:ascii="宋体"/>
          <w:sz w:val="21"/>
          <w:szCs w:val="21"/>
        </w:rPr>
      </w:pPr>
      <w:r>
        <w:rPr>
          <w:rFonts w:ascii="宋体" w:hAnsi="宋体"/>
          <w:sz w:val="21"/>
          <w:szCs w:val="21"/>
        </w:rPr>
        <w:t>6.</w:t>
      </w:r>
      <w:r>
        <w:rPr>
          <w:rFonts w:hint="eastAsia" w:ascii="宋体" w:hAnsi="宋体"/>
          <w:sz w:val="21"/>
          <w:szCs w:val="21"/>
        </w:rPr>
        <w:t>如果在开标后规定的投标有效期内撤回投标或中标后拒绝签订合同，我方的投标保证金可被贵方没收。</w:t>
      </w:r>
    </w:p>
    <w:p w14:paraId="3D34C89D">
      <w:pPr>
        <w:pStyle w:val="58"/>
        <w:spacing w:before="0" w:after="0" w:line="420" w:lineRule="exact"/>
        <w:rPr>
          <w:rFonts w:ascii="宋体"/>
          <w:sz w:val="21"/>
          <w:szCs w:val="21"/>
        </w:rPr>
      </w:pPr>
      <w:r>
        <w:rPr>
          <w:rFonts w:ascii="宋体" w:hAnsi="宋体"/>
          <w:sz w:val="21"/>
          <w:szCs w:val="21"/>
        </w:rPr>
        <w:t>7.</w:t>
      </w:r>
      <w:r>
        <w:rPr>
          <w:rFonts w:hint="eastAsia" w:ascii="宋体" w:hAnsi="宋体"/>
          <w:sz w:val="21"/>
          <w:szCs w:val="21"/>
        </w:rPr>
        <w:t>我方承诺：采购人若需追加采购本项目招标文件所列货物及相关服务的，在不改变合同其他实质性条款的前提下，按相同或更优惠的折扣率保证供货。</w:t>
      </w:r>
    </w:p>
    <w:p w14:paraId="2D011145">
      <w:pPr>
        <w:pStyle w:val="58"/>
        <w:spacing w:before="0" w:after="0" w:line="420" w:lineRule="exact"/>
        <w:rPr>
          <w:rFonts w:ascii="宋体"/>
          <w:sz w:val="21"/>
          <w:szCs w:val="21"/>
        </w:rPr>
      </w:pPr>
      <w:r>
        <w:rPr>
          <w:rFonts w:ascii="宋体" w:hAnsi="宋体"/>
          <w:sz w:val="21"/>
          <w:szCs w:val="21"/>
        </w:rPr>
        <w:t>8.</w:t>
      </w:r>
      <w:r>
        <w:rPr>
          <w:rFonts w:hint="eastAsia" w:ascii="宋体" w:hAnsi="宋体"/>
          <w:sz w:val="21"/>
          <w:szCs w:val="21"/>
        </w:rPr>
        <w:t>同意向贵方提供贵方可能另外要求的与投标有关的任何证据或资料，并保证我方已提供和将要提供的文件是真实的、准确的，绝无任何遗漏、虚假、伪造和夸大的成份，若出现违背诚实信用和无如实告知之处，同意被废除投标资格和相关的处罚。</w:t>
      </w:r>
    </w:p>
    <w:p w14:paraId="1D003C91">
      <w:pPr>
        <w:pStyle w:val="58"/>
        <w:spacing w:before="0" w:after="0" w:line="420" w:lineRule="exact"/>
        <w:rPr>
          <w:rFonts w:ascii="宋体"/>
          <w:sz w:val="21"/>
          <w:szCs w:val="21"/>
        </w:rPr>
      </w:pPr>
      <w:r>
        <w:rPr>
          <w:rFonts w:ascii="宋体" w:hAnsi="宋体"/>
          <w:sz w:val="21"/>
          <w:szCs w:val="21"/>
        </w:rPr>
        <w:t>9.</w:t>
      </w:r>
      <w:r>
        <w:rPr>
          <w:rFonts w:hint="eastAsia" w:ascii="宋体" w:hAnsi="宋体"/>
          <w:sz w:val="21"/>
          <w:szCs w:val="21"/>
        </w:rPr>
        <w:t>一旦我方中标</w:t>
      </w:r>
      <w:r>
        <w:rPr>
          <w:rFonts w:ascii="宋体"/>
          <w:sz w:val="21"/>
          <w:szCs w:val="21"/>
        </w:rPr>
        <w:t>,</w:t>
      </w:r>
      <w:r>
        <w:rPr>
          <w:rFonts w:hint="eastAsia" w:ascii="宋体" w:hAnsi="宋体"/>
          <w:sz w:val="21"/>
          <w:szCs w:val="21"/>
        </w:rPr>
        <w:t>我方将根据招标文件的规定，严格履行合同的责任和义务</w:t>
      </w:r>
      <w:r>
        <w:rPr>
          <w:rFonts w:ascii="宋体"/>
          <w:sz w:val="21"/>
          <w:szCs w:val="21"/>
        </w:rPr>
        <w:t>,</w:t>
      </w:r>
      <w:r>
        <w:rPr>
          <w:rFonts w:hint="eastAsia" w:ascii="宋体" w:hAnsi="宋体"/>
          <w:sz w:val="21"/>
          <w:szCs w:val="21"/>
        </w:rPr>
        <w:t>并保证在招标文件规定的时间完成项目，交付采购人验收、使用。</w:t>
      </w:r>
    </w:p>
    <w:p w14:paraId="2D203881">
      <w:pPr>
        <w:pStyle w:val="58"/>
        <w:spacing w:before="0" w:after="0" w:line="420" w:lineRule="exact"/>
        <w:rPr>
          <w:rFonts w:ascii="宋体"/>
          <w:sz w:val="21"/>
          <w:szCs w:val="21"/>
        </w:rPr>
      </w:pPr>
      <w:r>
        <w:rPr>
          <w:rFonts w:ascii="宋体" w:hAnsi="宋体"/>
          <w:sz w:val="21"/>
          <w:szCs w:val="21"/>
        </w:rPr>
        <w:t>10.</w:t>
      </w:r>
      <w:r>
        <w:rPr>
          <w:rFonts w:hint="eastAsia" w:ascii="宋体" w:hAnsi="宋体"/>
          <w:sz w:val="21"/>
          <w:szCs w:val="21"/>
        </w:rPr>
        <w:t>遵守招标文件中要求的收费项目和标准且无任何异议。</w:t>
      </w:r>
    </w:p>
    <w:p w14:paraId="48247EAF">
      <w:pPr>
        <w:pStyle w:val="58"/>
        <w:spacing w:before="0" w:after="0" w:line="420" w:lineRule="exact"/>
        <w:rPr>
          <w:rFonts w:ascii="宋体"/>
          <w:sz w:val="21"/>
          <w:szCs w:val="21"/>
        </w:rPr>
      </w:pPr>
      <w:r>
        <w:rPr>
          <w:rFonts w:hint="eastAsia" w:ascii="宋体" w:hAnsi="宋体"/>
          <w:sz w:val="21"/>
          <w:szCs w:val="21"/>
        </w:rPr>
        <w:t>如果我方违反上述承诺，或承诺内容不属实，我方愿意承担一切不利的法律后果。</w:t>
      </w:r>
    </w:p>
    <w:p w14:paraId="3B1CE6E7">
      <w:pPr>
        <w:pStyle w:val="58"/>
        <w:spacing w:before="0" w:after="0" w:line="420" w:lineRule="exact"/>
        <w:rPr>
          <w:rFonts w:ascii="宋体"/>
          <w:sz w:val="21"/>
          <w:szCs w:val="21"/>
        </w:rPr>
      </w:pPr>
      <w:r>
        <w:rPr>
          <w:rFonts w:hint="eastAsia" w:ascii="宋体" w:hAnsi="宋体"/>
          <w:sz w:val="21"/>
          <w:szCs w:val="21"/>
        </w:rPr>
        <w:t>与本投标有关的正式通讯地址为：</w:t>
      </w:r>
    </w:p>
    <w:p w14:paraId="5ED2F1E6">
      <w:pPr>
        <w:pStyle w:val="58"/>
        <w:spacing w:before="0" w:after="0" w:line="420" w:lineRule="exact"/>
        <w:ind w:left="420" w:leftChars="200"/>
        <w:rPr>
          <w:rFonts w:ascii="宋体"/>
          <w:sz w:val="21"/>
          <w:szCs w:val="21"/>
          <w:u w:val="single"/>
        </w:rPr>
      </w:pPr>
      <w:r>
        <w:rPr>
          <w:rFonts w:hint="eastAsia" w:ascii="宋体" w:hAnsi="宋体"/>
          <w:sz w:val="21"/>
          <w:szCs w:val="21"/>
        </w:rPr>
        <w:t>地址：</w:t>
      </w:r>
    </w:p>
    <w:p w14:paraId="5D96F76B">
      <w:pPr>
        <w:pStyle w:val="58"/>
        <w:spacing w:before="0" w:after="0" w:line="420" w:lineRule="exact"/>
        <w:ind w:left="420" w:leftChars="200"/>
        <w:rPr>
          <w:rFonts w:ascii="宋体"/>
          <w:sz w:val="21"/>
          <w:szCs w:val="21"/>
          <w:u w:val="single"/>
        </w:rPr>
      </w:pPr>
      <w:r>
        <w:rPr>
          <w:rFonts w:hint="eastAsia" w:ascii="宋体" w:hAnsi="宋体"/>
          <w:sz w:val="21"/>
          <w:szCs w:val="21"/>
        </w:rPr>
        <w:t>邮编：</w:t>
      </w:r>
    </w:p>
    <w:p w14:paraId="039EAF2C">
      <w:pPr>
        <w:pStyle w:val="58"/>
        <w:spacing w:before="0" w:after="0" w:line="420" w:lineRule="exact"/>
        <w:ind w:left="420" w:leftChars="200"/>
        <w:rPr>
          <w:rFonts w:ascii="宋体"/>
          <w:sz w:val="21"/>
          <w:szCs w:val="21"/>
          <w:u w:val="single"/>
        </w:rPr>
      </w:pPr>
      <w:r>
        <w:rPr>
          <w:rFonts w:hint="eastAsia" w:ascii="宋体" w:hAnsi="宋体"/>
          <w:sz w:val="21"/>
          <w:szCs w:val="21"/>
        </w:rPr>
        <w:t>电话：　　传真：</w:t>
      </w:r>
    </w:p>
    <w:p w14:paraId="79B2E2A7">
      <w:pPr>
        <w:pStyle w:val="58"/>
        <w:spacing w:before="0" w:after="0" w:line="420" w:lineRule="exact"/>
        <w:ind w:left="420" w:leftChars="200"/>
        <w:rPr>
          <w:rFonts w:ascii="宋体"/>
          <w:sz w:val="21"/>
          <w:szCs w:val="21"/>
          <w:u w:val="single"/>
        </w:rPr>
      </w:pPr>
      <w:r>
        <w:rPr>
          <w:rFonts w:hint="eastAsia" w:ascii="宋体" w:hAnsi="宋体"/>
          <w:sz w:val="21"/>
          <w:szCs w:val="21"/>
        </w:rPr>
        <w:t>投标人开户行：</w:t>
      </w:r>
    </w:p>
    <w:p w14:paraId="5EAE1F4C">
      <w:pPr>
        <w:pStyle w:val="58"/>
        <w:spacing w:before="0" w:after="0" w:line="420" w:lineRule="exact"/>
        <w:ind w:left="420" w:leftChars="200"/>
        <w:rPr>
          <w:rFonts w:ascii="宋体"/>
          <w:sz w:val="21"/>
          <w:szCs w:val="21"/>
          <w:u w:val="single"/>
        </w:rPr>
      </w:pPr>
      <w:r>
        <w:rPr>
          <w:rFonts w:hint="eastAsia" w:ascii="宋体" w:hAnsi="宋体"/>
          <w:sz w:val="21"/>
          <w:szCs w:val="21"/>
        </w:rPr>
        <w:t>账户：</w:t>
      </w:r>
    </w:p>
    <w:p w14:paraId="58F37F8C">
      <w:pPr>
        <w:pStyle w:val="58"/>
        <w:spacing w:before="0" w:after="0" w:line="420" w:lineRule="exact"/>
        <w:ind w:left="420" w:leftChars="200"/>
        <w:rPr>
          <w:rFonts w:ascii="宋体"/>
          <w:sz w:val="21"/>
          <w:szCs w:val="21"/>
          <w:u w:val="single"/>
        </w:rPr>
      </w:pPr>
      <w:r>
        <w:rPr>
          <w:rFonts w:hint="eastAsia" w:ascii="宋体" w:hAnsi="宋体"/>
          <w:sz w:val="21"/>
          <w:szCs w:val="21"/>
        </w:rPr>
        <w:t>法定代表人（或负责人、执行合伙企业事务的合伙人）或被授权人（签字或盖章）：</w:t>
      </w:r>
    </w:p>
    <w:p w14:paraId="10710F01">
      <w:pPr>
        <w:pStyle w:val="58"/>
        <w:spacing w:before="0" w:after="0" w:line="420" w:lineRule="exact"/>
        <w:ind w:left="420" w:leftChars="200"/>
        <w:rPr>
          <w:rFonts w:ascii="宋体"/>
          <w:sz w:val="21"/>
          <w:szCs w:val="21"/>
          <w:u w:val="single"/>
        </w:rPr>
      </w:pPr>
      <w:r>
        <w:rPr>
          <w:rFonts w:hint="eastAsia" w:ascii="宋体" w:hAnsi="宋体"/>
          <w:sz w:val="21"/>
          <w:szCs w:val="21"/>
        </w:rPr>
        <w:t>投标人名称（公章）：</w:t>
      </w:r>
    </w:p>
    <w:p w14:paraId="5C59577A">
      <w:pPr>
        <w:pStyle w:val="58"/>
        <w:spacing w:before="0" w:after="0" w:line="420" w:lineRule="exact"/>
        <w:ind w:left="420" w:leftChars="200"/>
        <w:rPr>
          <w:rFonts w:ascii="宋体"/>
          <w:sz w:val="21"/>
          <w:szCs w:val="21"/>
        </w:rPr>
      </w:pPr>
      <w:r>
        <w:rPr>
          <w:rFonts w:hint="eastAsia" w:ascii="宋体" w:hAnsi="宋体"/>
          <w:sz w:val="21"/>
          <w:szCs w:val="21"/>
        </w:rPr>
        <w:t>日期：年</w:t>
      </w:r>
      <w:r>
        <w:rPr>
          <w:rFonts w:ascii="宋体" w:hAnsi="宋体"/>
          <w:sz w:val="21"/>
          <w:szCs w:val="21"/>
        </w:rPr>
        <w:t>_______</w:t>
      </w:r>
      <w:r>
        <w:rPr>
          <w:rFonts w:hint="eastAsia" w:ascii="宋体" w:hAnsi="宋体"/>
          <w:sz w:val="21"/>
          <w:szCs w:val="21"/>
        </w:rPr>
        <w:t>月</w:t>
      </w:r>
      <w:r>
        <w:rPr>
          <w:rFonts w:ascii="宋体" w:hAnsi="宋体"/>
          <w:sz w:val="21"/>
          <w:szCs w:val="21"/>
        </w:rPr>
        <w:t>_______</w:t>
      </w:r>
      <w:r>
        <w:rPr>
          <w:rFonts w:hint="eastAsia" w:ascii="宋体" w:hAnsi="宋体"/>
          <w:sz w:val="21"/>
          <w:szCs w:val="21"/>
        </w:rPr>
        <w:t>日</w:t>
      </w:r>
    </w:p>
    <w:p w14:paraId="5282EF37">
      <w:pPr>
        <w:adjustRightInd w:val="0"/>
        <w:snapToGrid w:val="0"/>
        <w:spacing w:line="360" w:lineRule="exact"/>
        <w:rPr>
          <w:rFonts w:ascii="宋体"/>
        </w:rPr>
        <w:sectPr>
          <w:headerReference r:id="rId10" w:type="first"/>
          <w:footerReference r:id="rId12" w:type="first"/>
          <w:headerReference r:id="rId9" w:type="default"/>
          <w:footerReference r:id="rId11" w:type="default"/>
          <w:pgSz w:w="11906" w:h="16838"/>
          <w:pgMar w:top="1418" w:right="1249" w:bottom="1418" w:left="1417" w:header="851" w:footer="992" w:gutter="0"/>
          <w:cols w:space="720" w:num="1"/>
          <w:docGrid w:linePitch="312" w:charSpace="0"/>
        </w:sectPr>
      </w:pPr>
    </w:p>
    <w:p w14:paraId="78245927">
      <w:pPr>
        <w:rPr>
          <w:rFonts w:hint="eastAsia" w:ascii="宋体" w:hAnsi="宋体"/>
          <w:b/>
          <w:sz w:val="32"/>
          <w:szCs w:val="32"/>
        </w:rPr>
      </w:pPr>
      <w:r>
        <w:rPr>
          <w:rFonts w:hint="eastAsia" w:ascii="宋体" w:hAnsi="宋体"/>
          <w:b/>
          <w:sz w:val="32"/>
          <w:szCs w:val="32"/>
        </w:rPr>
        <w:t xml:space="preserve">附件2  </w:t>
      </w:r>
    </w:p>
    <w:p w14:paraId="257D3098">
      <w:pPr>
        <w:spacing w:line="480" w:lineRule="exact"/>
        <w:ind w:firstLine="538"/>
        <w:jc w:val="center"/>
        <w:rPr>
          <w:rFonts w:ascii="宋体"/>
          <w:b/>
          <w:sz w:val="32"/>
          <w:szCs w:val="32"/>
        </w:rPr>
      </w:pPr>
      <w:r>
        <w:rPr>
          <w:rFonts w:hint="eastAsia" w:ascii="宋体" w:hAnsi="宋体"/>
          <w:b/>
          <w:sz w:val="32"/>
          <w:szCs w:val="32"/>
        </w:rPr>
        <w:t>法定代表人身份证明书</w:t>
      </w:r>
    </w:p>
    <w:p w14:paraId="4EBE01C6">
      <w:pPr>
        <w:adjustRightInd w:val="0"/>
        <w:spacing w:line="500" w:lineRule="exact"/>
        <w:jc w:val="center"/>
        <w:textAlignment w:val="baseline"/>
        <w:rPr>
          <w:rFonts w:ascii="宋体"/>
          <w:kern w:val="0"/>
          <w:sz w:val="24"/>
          <w:szCs w:val="24"/>
        </w:rPr>
      </w:pPr>
    </w:p>
    <w:p w14:paraId="6A56D880">
      <w:pPr>
        <w:adjustRightInd w:val="0"/>
        <w:spacing w:line="360" w:lineRule="auto"/>
        <w:ind w:firstLine="480" w:firstLineChars="200"/>
        <w:textAlignment w:val="baseline"/>
        <w:rPr>
          <w:rFonts w:ascii="宋体"/>
          <w:kern w:val="0"/>
          <w:sz w:val="24"/>
          <w:szCs w:val="24"/>
          <w:u w:val="single"/>
        </w:rPr>
      </w:pPr>
      <w:r>
        <w:rPr>
          <w:rFonts w:hint="eastAsia" w:ascii="宋体" w:hAnsi="宋体"/>
          <w:kern w:val="0"/>
          <w:sz w:val="24"/>
          <w:szCs w:val="24"/>
        </w:rPr>
        <w:t>单位名称：</w:t>
      </w:r>
      <w:r>
        <w:rPr>
          <w:rFonts w:hint="eastAsia" w:ascii="宋体" w:hAnsi="宋体"/>
          <w:kern w:val="0"/>
          <w:sz w:val="24"/>
          <w:szCs w:val="24"/>
          <w:u w:val="single"/>
        </w:rPr>
        <w:t xml:space="preserve">             </w:t>
      </w:r>
    </w:p>
    <w:p w14:paraId="20BCA2F5">
      <w:pPr>
        <w:adjustRightInd w:val="0"/>
        <w:spacing w:line="360" w:lineRule="auto"/>
        <w:ind w:firstLine="480" w:firstLineChars="200"/>
        <w:textAlignment w:val="baseline"/>
        <w:rPr>
          <w:rFonts w:ascii="宋体"/>
          <w:kern w:val="0"/>
          <w:sz w:val="24"/>
          <w:szCs w:val="24"/>
          <w:u w:val="single"/>
        </w:rPr>
      </w:pPr>
      <w:r>
        <w:rPr>
          <w:rFonts w:hint="eastAsia" w:ascii="宋体" w:hAnsi="宋体"/>
          <w:kern w:val="0"/>
          <w:sz w:val="24"/>
          <w:szCs w:val="24"/>
        </w:rPr>
        <w:t>地址：</w:t>
      </w:r>
      <w:r>
        <w:rPr>
          <w:rFonts w:hint="eastAsia" w:ascii="宋体" w:hAnsi="宋体"/>
          <w:kern w:val="0"/>
          <w:sz w:val="24"/>
          <w:szCs w:val="24"/>
          <w:u w:val="single"/>
        </w:rPr>
        <w:t xml:space="preserve">               </w:t>
      </w:r>
    </w:p>
    <w:p w14:paraId="7FC45F86">
      <w:pPr>
        <w:adjustRightInd w:val="0"/>
        <w:spacing w:line="360" w:lineRule="auto"/>
        <w:ind w:firstLine="480" w:firstLineChars="200"/>
        <w:textAlignment w:val="baseline"/>
        <w:rPr>
          <w:rFonts w:ascii="宋体"/>
          <w:kern w:val="0"/>
          <w:sz w:val="24"/>
          <w:szCs w:val="24"/>
        </w:rPr>
      </w:pPr>
      <w:r>
        <w:rPr>
          <w:rFonts w:hint="eastAsia" w:ascii="宋体" w:hAnsi="宋体"/>
          <w:kern w:val="0"/>
          <w:sz w:val="24"/>
          <w:szCs w:val="24"/>
        </w:rPr>
        <w:t>成立时间：</w:t>
      </w:r>
      <w:r>
        <w:rPr>
          <w:rFonts w:hint="eastAsia" w:ascii="宋体" w:hAnsi="宋体"/>
          <w:kern w:val="0"/>
          <w:sz w:val="24"/>
          <w:szCs w:val="24"/>
          <w:u w:val="single"/>
        </w:rPr>
        <w:t xml:space="preserve">   </w:t>
      </w:r>
      <w:r>
        <w:rPr>
          <w:rFonts w:hint="eastAsia" w:ascii="宋体" w:hAnsi="宋体"/>
          <w:kern w:val="0"/>
          <w:sz w:val="24"/>
          <w:szCs w:val="24"/>
        </w:rPr>
        <w:t>年</w:t>
      </w:r>
      <w:r>
        <w:rPr>
          <w:rFonts w:hint="eastAsia" w:ascii="宋体" w:hAnsi="宋体"/>
          <w:kern w:val="0"/>
          <w:sz w:val="24"/>
          <w:szCs w:val="24"/>
          <w:u w:val="single"/>
        </w:rPr>
        <w:t xml:space="preserve">     </w:t>
      </w:r>
      <w:r>
        <w:rPr>
          <w:rFonts w:hint="eastAsia" w:ascii="宋体" w:hAnsi="宋体"/>
          <w:kern w:val="0"/>
          <w:sz w:val="24"/>
          <w:szCs w:val="24"/>
        </w:rPr>
        <w:t>月</w:t>
      </w:r>
      <w:r>
        <w:rPr>
          <w:rFonts w:hint="eastAsia" w:ascii="宋体" w:hAnsi="宋体"/>
          <w:kern w:val="0"/>
          <w:sz w:val="24"/>
          <w:szCs w:val="24"/>
          <w:u w:val="single"/>
        </w:rPr>
        <w:t xml:space="preserve">      </w:t>
      </w:r>
      <w:r>
        <w:rPr>
          <w:rFonts w:hint="eastAsia" w:ascii="宋体" w:hAnsi="宋体"/>
          <w:kern w:val="0"/>
          <w:sz w:val="24"/>
          <w:szCs w:val="24"/>
        </w:rPr>
        <w:t xml:space="preserve"> 日</w:t>
      </w:r>
    </w:p>
    <w:p w14:paraId="2B91A5AC">
      <w:pPr>
        <w:adjustRightInd w:val="0"/>
        <w:spacing w:line="360" w:lineRule="auto"/>
        <w:ind w:firstLine="480" w:firstLineChars="200"/>
        <w:textAlignment w:val="baseline"/>
        <w:rPr>
          <w:rFonts w:ascii="宋体"/>
          <w:kern w:val="0"/>
          <w:sz w:val="24"/>
          <w:szCs w:val="24"/>
          <w:u w:val="single"/>
        </w:rPr>
      </w:pPr>
      <w:r>
        <w:rPr>
          <w:rFonts w:hint="eastAsia" w:ascii="宋体" w:hAnsi="宋体"/>
          <w:kern w:val="0"/>
          <w:sz w:val="24"/>
          <w:szCs w:val="24"/>
        </w:rPr>
        <w:t>经营期限：</w:t>
      </w:r>
      <w:r>
        <w:rPr>
          <w:rFonts w:hint="eastAsia" w:ascii="宋体" w:hAnsi="宋体"/>
          <w:kern w:val="0"/>
          <w:sz w:val="24"/>
          <w:szCs w:val="24"/>
          <w:u w:val="single"/>
        </w:rPr>
        <w:t xml:space="preserve">            </w:t>
      </w:r>
    </w:p>
    <w:p w14:paraId="0D8D730E">
      <w:pPr>
        <w:adjustRightInd w:val="0"/>
        <w:spacing w:line="360" w:lineRule="auto"/>
        <w:ind w:firstLine="480" w:firstLineChars="200"/>
        <w:textAlignment w:val="baseline"/>
        <w:rPr>
          <w:rFonts w:ascii="宋体"/>
          <w:kern w:val="0"/>
          <w:sz w:val="24"/>
          <w:szCs w:val="24"/>
          <w:u w:val="single"/>
        </w:rPr>
      </w:pPr>
      <w:r>
        <w:rPr>
          <w:rFonts w:hint="eastAsia" w:ascii="宋体" w:hAnsi="宋体"/>
          <w:kern w:val="0"/>
          <w:sz w:val="24"/>
          <w:szCs w:val="24"/>
        </w:rPr>
        <w:t>姓名：</w:t>
      </w:r>
      <w:r>
        <w:rPr>
          <w:rFonts w:hint="eastAsia" w:ascii="宋体" w:hAnsi="宋体"/>
          <w:kern w:val="0"/>
          <w:sz w:val="24"/>
          <w:szCs w:val="24"/>
          <w:u w:val="single"/>
        </w:rPr>
        <w:t xml:space="preserve">       </w:t>
      </w:r>
      <w:r>
        <w:rPr>
          <w:rFonts w:hint="eastAsia" w:ascii="宋体" w:hAnsi="宋体"/>
          <w:kern w:val="0"/>
          <w:sz w:val="24"/>
          <w:szCs w:val="24"/>
        </w:rPr>
        <w:t>性别：</w:t>
      </w:r>
      <w:r>
        <w:rPr>
          <w:rFonts w:hint="eastAsia" w:ascii="宋体" w:hAnsi="宋体"/>
          <w:kern w:val="0"/>
          <w:sz w:val="24"/>
          <w:szCs w:val="24"/>
          <w:u w:val="single"/>
        </w:rPr>
        <w:t xml:space="preserve">          </w:t>
      </w:r>
    </w:p>
    <w:p w14:paraId="0683A313">
      <w:pPr>
        <w:adjustRightInd w:val="0"/>
        <w:spacing w:line="360" w:lineRule="auto"/>
        <w:ind w:firstLine="480" w:firstLineChars="200"/>
        <w:textAlignment w:val="baseline"/>
        <w:rPr>
          <w:rFonts w:hint="eastAsia" w:ascii="宋体" w:hAnsi="宋体"/>
          <w:kern w:val="0"/>
          <w:sz w:val="24"/>
          <w:szCs w:val="24"/>
        </w:rPr>
      </w:pPr>
      <w:r>
        <w:rPr>
          <w:rFonts w:hint="eastAsia" w:ascii="宋体" w:hAnsi="宋体"/>
          <w:kern w:val="0"/>
          <w:sz w:val="24"/>
          <w:szCs w:val="24"/>
        </w:rPr>
        <w:t>职务：</w:t>
      </w:r>
      <w:r>
        <w:rPr>
          <w:rFonts w:hint="eastAsia" w:ascii="宋体" w:hAnsi="宋体"/>
          <w:kern w:val="0"/>
          <w:sz w:val="24"/>
          <w:szCs w:val="24"/>
          <w:u w:val="single"/>
        </w:rPr>
        <w:t xml:space="preserve">              </w:t>
      </w:r>
      <w:r>
        <w:rPr>
          <w:rFonts w:hint="eastAsia" w:ascii="宋体" w:hAnsi="宋体"/>
          <w:kern w:val="0"/>
          <w:sz w:val="24"/>
          <w:szCs w:val="24"/>
        </w:rPr>
        <w:t>系：</w:t>
      </w:r>
      <w:r>
        <w:rPr>
          <w:rFonts w:ascii="宋体" w:hAnsi="宋体"/>
          <w:kern w:val="0"/>
          <w:sz w:val="24"/>
          <w:szCs w:val="24"/>
          <w:u w:val="single"/>
        </w:rPr>
        <w:t xml:space="preserve">     (</w:t>
      </w:r>
      <w:r>
        <w:rPr>
          <w:rFonts w:hint="eastAsia" w:ascii="宋体" w:hAnsi="宋体"/>
          <w:kern w:val="0"/>
          <w:sz w:val="24"/>
          <w:szCs w:val="24"/>
          <w:u w:val="single"/>
        </w:rPr>
        <w:t>投标单位名称</w:t>
      </w:r>
      <w:r>
        <w:rPr>
          <w:rFonts w:ascii="宋体" w:hAnsi="宋体"/>
          <w:kern w:val="0"/>
          <w:sz w:val="24"/>
          <w:szCs w:val="24"/>
          <w:u w:val="single"/>
        </w:rPr>
        <w:t xml:space="preserve">) </w:t>
      </w:r>
      <w:r>
        <w:rPr>
          <w:rFonts w:hint="eastAsia" w:ascii="宋体" w:hAnsi="宋体"/>
          <w:kern w:val="0"/>
          <w:sz w:val="24"/>
          <w:szCs w:val="24"/>
        </w:rPr>
        <w:t>的法定代表人（或负责人、执行合伙企业事务的合伙人）。</w:t>
      </w:r>
    </w:p>
    <w:p w14:paraId="0313D238">
      <w:pPr>
        <w:adjustRightInd w:val="0"/>
        <w:spacing w:line="360" w:lineRule="auto"/>
        <w:ind w:firstLine="480" w:firstLineChars="200"/>
        <w:textAlignment w:val="baseline"/>
        <w:rPr>
          <w:rFonts w:ascii="宋体"/>
          <w:kern w:val="0"/>
          <w:sz w:val="24"/>
          <w:szCs w:val="24"/>
        </w:rPr>
      </w:pPr>
    </w:p>
    <w:p w14:paraId="2A74584E">
      <w:pPr>
        <w:adjustRightInd w:val="0"/>
        <w:spacing w:line="360" w:lineRule="auto"/>
        <w:ind w:firstLine="480" w:firstLineChars="200"/>
        <w:textAlignment w:val="baseline"/>
        <w:rPr>
          <w:rFonts w:ascii="宋体"/>
          <w:kern w:val="0"/>
          <w:sz w:val="24"/>
          <w:szCs w:val="24"/>
        </w:rPr>
      </w:pPr>
      <w:r>
        <w:rPr>
          <w:rFonts w:hint="eastAsia" w:ascii="宋体" w:hAnsi="宋体"/>
          <w:kern w:val="0"/>
          <w:sz w:val="24"/>
          <w:szCs w:val="24"/>
        </w:rPr>
        <w:t>特此证明</w:t>
      </w:r>
    </w:p>
    <w:p w14:paraId="4C6C7763">
      <w:pPr>
        <w:adjustRightInd w:val="0"/>
        <w:spacing w:line="360" w:lineRule="auto"/>
        <w:ind w:firstLine="480" w:firstLineChars="200"/>
        <w:textAlignment w:val="baseline"/>
        <w:rPr>
          <w:rFonts w:ascii="宋体"/>
          <w:kern w:val="0"/>
          <w:sz w:val="24"/>
          <w:szCs w:val="24"/>
        </w:rPr>
      </w:pPr>
    </w:p>
    <w:p w14:paraId="782CF3A4">
      <w:pPr>
        <w:adjustRightInd w:val="0"/>
        <w:spacing w:line="360" w:lineRule="auto"/>
        <w:ind w:firstLine="3600" w:firstLineChars="1500"/>
        <w:textAlignment w:val="baseline"/>
        <w:rPr>
          <w:rFonts w:ascii="宋体"/>
          <w:kern w:val="0"/>
          <w:sz w:val="24"/>
          <w:szCs w:val="24"/>
        </w:rPr>
      </w:pPr>
      <w:r>
        <w:rPr>
          <w:rFonts w:hint="eastAsia" w:ascii="宋体" w:hAnsi="宋体"/>
          <w:kern w:val="0"/>
          <w:sz w:val="24"/>
          <w:szCs w:val="24"/>
        </w:rPr>
        <w:t>投标单位</w:t>
      </w:r>
      <w:r>
        <w:rPr>
          <w:rFonts w:ascii="宋体" w:hAnsi="宋体"/>
          <w:kern w:val="0"/>
          <w:sz w:val="24"/>
          <w:szCs w:val="24"/>
        </w:rPr>
        <w:t>(</w:t>
      </w:r>
      <w:r>
        <w:rPr>
          <w:rFonts w:hint="eastAsia" w:ascii="宋体" w:hAnsi="宋体"/>
          <w:kern w:val="0"/>
          <w:sz w:val="24"/>
          <w:szCs w:val="24"/>
        </w:rPr>
        <w:t>加盖公章</w:t>
      </w:r>
      <w:r>
        <w:rPr>
          <w:rFonts w:ascii="宋体" w:hAnsi="宋体"/>
          <w:kern w:val="0"/>
          <w:sz w:val="24"/>
          <w:szCs w:val="24"/>
        </w:rPr>
        <w:t>)</w:t>
      </w:r>
      <w:r>
        <w:rPr>
          <w:rFonts w:hint="eastAsia" w:ascii="宋体" w:hAnsi="宋体"/>
          <w:kern w:val="0"/>
          <w:sz w:val="24"/>
          <w:szCs w:val="24"/>
        </w:rPr>
        <w:t>：</w:t>
      </w:r>
    </w:p>
    <w:p w14:paraId="6F8BE33F">
      <w:pPr>
        <w:adjustRightInd w:val="0"/>
        <w:spacing w:line="360" w:lineRule="auto"/>
        <w:ind w:firstLine="3840" w:firstLineChars="1600"/>
        <w:textAlignment w:val="baseline"/>
        <w:rPr>
          <w:rFonts w:ascii="宋体"/>
          <w:kern w:val="0"/>
          <w:sz w:val="24"/>
          <w:szCs w:val="24"/>
        </w:rPr>
      </w:pPr>
    </w:p>
    <w:p w14:paraId="6499CDB6">
      <w:pPr>
        <w:adjustRightInd w:val="0"/>
        <w:spacing w:line="360" w:lineRule="auto"/>
        <w:ind w:firstLine="4320" w:firstLineChars="1800"/>
        <w:textAlignment w:val="baseline"/>
        <w:rPr>
          <w:rFonts w:ascii="宋体"/>
          <w:kern w:val="0"/>
          <w:sz w:val="24"/>
          <w:szCs w:val="24"/>
        </w:rPr>
      </w:pPr>
      <w:r>
        <w:rPr>
          <w:rFonts w:hint="eastAsia" w:ascii="宋体" w:hAnsi="宋体"/>
          <w:kern w:val="0"/>
          <w:sz w:val="24"/>
          <w:szCs w:val="24"/>
        </w:rPr>
        <w:t>年  月  日</w:t>
      </w:r>
    </w:p>
    <w:p w14:paraId="7B75B99F">
      <w:pPr>
        <w:widowControl/>
        <w:spacing w:line="360" w:lineRule="auto"/>
        <w:rPr>
          <w:rFonts w:ascii="宋体" w:cs="Arial Unicode MS"/>
          <w:b/>
          <w:bCs/>
          <w:kern w:val="0"/>
          <w:sz w:val="24"/>
          <w:szCs w:val="20"/>
        </w:rPr>
      </w:pPr>
    </w:p>
    <w:p w14:paraId="6E5F084A">
      <w:pPr>
        <w:widowControl/>
        <w:spacing w:line="360" w:lineRule="auto"/>
        <w:rPr>
          <w:rFonts w:hint="eastAsia" w:ascii="宋体" w:hAnsi="宋体"/>
          <w:b/>
          <w:bCs/>
          <w:sz w:val="24"/>
        </w:rPr>
      </w:pPr>
      <w:r>
        <w:rPr>
          <w:rFonts w:hint="eastAsia" w:ascii="宋体" w:hAnsi="宋体"/>
          <w:b/>
          <w:bCs/>
          <w:sz w:val="24"/>
        </w:rPr>
        <w:t>附：法定代表人身份证复印件加盖红色实物公章</w:t>
      </w:r>
    </w:p>
    <w:p w14:paraId="4ECDDEB7">
      <w:pPr>
        <w:spacing w:line="400" w:lineRule="exact"/>
        <w:ind w:firstLine="480" w:firstLineChars="200"/>
        <w:jc w:val="left"/>
        <w:rPr>
          <w:sz w:val="24"/>
          <w:szCs w:val="24"/>
        </w:rPr>
      </w:pPr>
    </w:p>
    <w:p w14:paraId="4AE5F89B">
      <w:pPr>
        <w:spacing w:line="400" w:lineRule="exact"/>
        <w:ind w:firstLine="480" w:firstLineChars="200"/>
        <w:jc w:val="left"/>
        <w:rPr>
          <w:sz w:val="24"/>
          <w:szCs w:val="24"/>
        </w:rPr>
      </w:pPr>
    </w:p>
    <w:p w14:paraId="737F4240">
      <w:pPr>
        <w:spacing w:line="400" w:lineRule="exact"/>
        <w:ind w:firstLine="480" w:firstLineChars="200"/>
        <w:jc w:val="left"/>
        <w:rPr>
          <w:sz w:val="24"/>
          <w:szCs w:val="24"/>
        </w:rPr>
      </w:pPr>
    </w:p>
    <w:p w14:paraId="741D7953">
      <w:pPr>
        <w:spacing w:line="400" w:lineRule="exact"/>
        <w:ind w:firstLine="480" w:firstLineChars="200"/>
        <w:jc w:val="left"/>
        <w:rPr>
          <w:sz w:val="24"/>
          <w:szCs w:val="24"/>
        </w:rPr>
      </w:pPr>
    </w:p>
    <w:p w14:paraId="29C44A88">
      <w:pPr>
        <w:pStyle w:val="26"/>
      </w:pPr>
    </w:p>
    <w:p w14:paraId="6A6C141A">
      <w:pPr>
        <w:spacing w:line="400" w:lineRule="exact"/>
        <w:ind w:firstLine="480" w:firstLineChars="200"/>
        <w:jc w:val="left"/>
        <w:rPr>
          <w:sz w:val="24"/>
          <w:szCs w:val="24"/>
        </w:rPr>
      </w:pPr>
    </w:p>
    <w:p w14:paraId="4F4C1B56">
      <w:pPr>
        <w:spacing w:line="400" w:lineRule="exact"/>
        <w:ind w:firstLine="480" w:firstLineChars="200"/>
        <w:jc w:val="left"/>
        <w:rPr>
          <w:sz w:val="24"/>
          <w:szCs w:val="24"/>
        </w:rPr>
      </w:pPr>
    </w:p>
    <w:p w14:paraId="35C18FAE">
      <w:pPr>
        <w:spacing w:line="400" w:lineRule="exact"/>
        <w:ind w:firstLine="480" w:firstLineChars="200"/>
        <w:jc w:val="left"/>
        <w:rPr>
          <w:sz w:val="24"/>
          <w:szCs w:val="24"/>
        </w:rPr>
      </w:pPr>
    </w:p>
    <w:p w14:paraId="5DB1CD17">
      <w:pPr>
        <w:spacing w:line="400" w:lineRule="exact"/>
        <w:ind w:firstLine="480" w:firstLineChars="200"/>
        <w:jc w:val="left"/>
        <w:rPr>
          <w:sz w:val="24"/>
          <w:szCs w:val="24"/>
        </w:rPr>
      </w:pPr>
    </w:p>
    <w:p w14:paraId="0915E51E">
      <w:pPr>
        <w:spacing w:line="400" w:lineRule="exact"/>
        <w:ind w:firstLine="480" w:firstLineChars="200"/>
        <w:jc w:val="left"/>
        <w:rPr>
          <w:sz w:val="24"/>
          <w:szCs w:val="24"/>
        </w:rPr>
      </w:pPr>
    </w:p>
    <w:p w14:paraId="280369BF">
      <w:pPr>
        <w:spacing w:line="400" w:lineRule="exact"/>
        <w:ind w:firstLine="480" w:firstLineChars="200"/>
        <w:jc w:val="left"/>
        <w:rPr>
          <w:sz w:val="24"/>
          <w:szCs w:val="24"/>
        </w:rPr>
      </w:pPr>
    </w:p>
    <w:p w14:paraId="25FC808E">
      <w:pPr>
        <w:rPr>
          <w:rFonts w:hint="eastAsia" w:ascii="宋体" w:hAnsi="宋体"/>
          <w:b/>
          <w:sz w:val="32"/>
          <w:szCs w:val="32"/>
        </w:rPr>
      </w:pPr>
    </w:p>
    <w:p w14:paraId="62DC9BF4">
      <w:pPr>
        <w:rPr>
          <w:rFonts w:hint="eastAsia" w:ascii="宋体" w:hAnsi="宋体"/>
          <w:b/>
          <w:sz w:val="32"/>
          <w:szCs w:val="32"/>
        </w:rPr>
      </w:pPr>
    </w:p>
    <w:p w14:paraId="4457CDB6">
      <w:pPr>
        <w:pStyle w:val="2"/>
        <w:spacing w:line="360" w:lineRule="auto"/>
        <w:ind w:firstLine="3213" w:firstLineChars="1000"/>
        <w:jc w:val="both"/>
        <w:rPr>
          <w:rFonts w:hint="eastAsia" w:ascii="宋体" w:hAnsi="宋体" w:eastAsia="宋体"/>
          <w:b/>
          <w:sz w:val="32"/>
          <w:szCs w:val="32"/>
        </w:rPr>
      </w:pPr>
      <w:r>
        <w:rPr>
          <w:rFonts w:hint="eastAsia" w:ascii="宋体" w:hAnsi="宋体" w:eastAsia="宋体"/>
          <w:b/>
          <w:sz w:val="32"/>
          <w:szCs w:val="32"/>
        </w:rPr>
        <w:t>法定代表人授权书</w:t>
      </w:r>
    </w:p>
    <w:p w14:paraId="777B926F">
      <w:pPr>
        <w:spacing w:line="360" w:lineRule="auto"/>
        <w:ind w:firstLine="480" w:firstLineChars="200"/>
        <w:jc w:val="left"/>
        <w:rPr>
          <w:rFonts w:ascii="宋体"/>
          <w:sz w:val="24"/>
          <w:szCs w:val="24"/>
        </w:rPr>
      </w:pPr>
    </w:p>
    <w:p w14:paraId="5AADABED">
      <w:pPr>
        <w:spacing w:line="360" w:lineRule="auto"/>
        <w:ind w:firstLine="480" w:firstLineChars="200"/>
        <w:jc w:val="left"/>
        <w:rPr>
          <w:rFonts w:ascii="宋体"/>
          <w:sz w:val="24"/>
          <w:szCs w:val="24"/>
          <w:u w:val="single"/>
        </w:rPr>
      </w:pPr>
      <w:r>
        <w:rPr>
          <w:rFonts w:hint="eastAsia" w:ascii="宋体" w:hAnsi="宋体"/>
          <w:sz w:val="24"/>
          <w:szCs w:val="24"/>
        </w:rPr>
        <w:t xml:space="preserve">本授权书声明： </w:t>
      </w:r>
      <w:r>
        <w:rPr>
          <w:rFonts w:hint="eastAsia" w:ascii="宋体" w:hAnsi="宋体"/>
          <w:sz w:val="24"/>
          <w:szCs w:val="24"/>
          <w:u w:val="single"/>
        </w:rPr>
        <w:t xml:space="preserve">              </w:t>
      </w:r>
      <w:r>
        <w:rPr>
          <w:rFonts w:hint="eastAsia" w:ascii="宋体" w:hAnsi="宋体"/>
          <w:sz w:val="24"/>
          <w:szCs w:val="24"/>
        </w:rPr>
        <w:t>（投标人单位名称）</w:t>
      </w:r>
      <w:r>
        <w:rPr>
          <w:rFonts w:ascii="宋体" w:hAnsi="宋体"/>
          <w:sz w:val="24"/>
          <w:szCs w:val="24"/>
        </w:rPr>
        <w:t>____________</w:t>
      </w:r>
      <w:r>
        <w:rPr>
          <w:rFonts w:hint="eastAsia" w:ascii="宋体" w:hAnsi="宋体"/>
          <w:sz w:val="24"/>
          <w:szCs w:val="24"/>
        </w:rPr>
        <w:t>（法定代表人姓名、职务）授权</w:t>
      </w:r>
      <w:r>
        <w:rPr>
          <w:rFonts w:ascii="宋体" w:hAnsi="宋体"/>
          <w:sz w:val="24"/>
          <w:szCs w:val="24"/>
        </w:rPr>
        <w:t>____________</w:t>
      </w:r>
      <w:r>
        <w:rPr>
          <w:rFonts w:hint="eastAsia" w:ascii="宋体" w:hAnsi="宋体"/>
          <w:sz w:val="24"/>
          <w:szCs w:val="24"/>
        </w:rPr>
        <w:t>（被授权人的姓名、职务）为我方就</w:t>
      </w:r>
      <w:r>
        <w:rPr>
          <w:rFonts w:hint="eastAsia" w:ascii="宋体" w:hAnsi="宋体"/>
          <w:sz w:val="24"/>
          <w:szCs w:val="24"/>
          <w:u w:val="single"/>
        </w:rPr>
        <w:t xml:space="preserve">           </w:t>
      </w:r>
      <w:r>
        <w:rPr>
          <w:rFonts w:hint="eastAsia" w:ascii="宋体" w:hAnsi="宋体"/>
          <w:sz w:val="24"/>
          <w:szCs w:val="24"/>
        </w:rPr>
        <w:t xml:space="preserve">    项目投标活动的合法代理人，以本公司名义全权处理一切与该项目投标有关的事务。</w:t>
      </w:r>
    </w:p>
    <w:p w14:paraId="53A989D3">
      <w:pPr>
        <w:pStyle w:val="58"/>
        <w:spacing w:before="0" w:after="0" w:line="600" w:lineRule="exact"/>
        <w:rPr>
          <w:rFonts w:ascii="宋体"/>
        </w:rPr>
      </w:pPr>
      <w:r>
        <w:rPr>
          <w:rFonts w:hint="eastAsia" w:ascii="宋体" w:hAnsi="宋体"/>
        </w:rPr>
        <w:t>本授权书于</w:t>
      </w:r>
      <w:r>
        <w:rPr>
          <w:rFonts w:hint="eastAsia" w:ascii="宋体" w:hAnsi="宋体"/>
          <w:u w:val="single"/>
        </w:rPr>
        <w:t xml:space="preserve">      </w:t>
      </w:r>
      <w:r>
        <w:rPr>
          <w:rFonts w:hint="eastAsia" w:ascii="宋体" w:hAnsi="宋体"/>
        </w:rPr>
        <w:t>年</w:t>
      </w:r>
      <w:r>
        <w:rPr>
          <w:rFonts w:ascii="宋体" w:hAnsi="宋体"/>
        </w:rPr>
        <w:t>____</w:t>
      </w:r>
      <w:r>
        <w:rPr>
          <w:rFonts w:hint="eastAsia" w:ascii="宋体" w:hAnsi="宋体"/>
        </w:rPr>
        <w:t>月</w:t>
      </w:r>
      <w:r>
        <w:rPr>
          <w:rFonts w:ascii="宋体" w:hAnsi="宋体"/>
        </w:rPr>
        <w:t>____</w:t>
      </w:r>
      <w:r>
        <w:rPr>
          <w:rFonts w:hint="eastAsia" w:ascii="宋体" w:hAnsi="宋体"/>
        </w:rPr>
        <w:t>日签字或盖章生效，特此声明。</w:t>
      </w:r>
    </w:p>
    <w:p w14:paraId="2A193E9E">
      <w:pPr>
        <w:pStyle w:val="58"/>
        <w:spacing w:before="0" w:after="0" w:line="600" w:lineRule="exact"/>
        <w:rPr>
          <w:rFonts w:ascii="宋体"/>
        </w:rPr>
      </w:pPr>
      <w:r>
        <w:rPr>
          <w:rFonts w:hint="eastAsia" w:ascii="宋体" w:hAnsi="宋体"/>
        </w:rPr>
        <w:t>被授权人无转委托权，特此委托。</w:t>
      </w:r>
    </w:p>
    <w:p w14:paraId="2583FA82">
      <w:pPr>
        <w:pStyle w:val="58"/>
        <w:spacing w:before="0" w:after="0" w:line="600" w:lineRule="exact"/>
        <w:rPr>
          <w:rFonts w:ascii="宋体"/>
        </w:rPr>
      </w:pPr>
    </w:p>
    <w:p w14:paraId="532E0F2A">
      <w:pPr>
        <w:pStyle w:val="58"/>
        <w:spacing w:before="0" w:after="0" w:line="600" w:lineRule="exact"/>
        <w:rPr>
          <w:rFonts w:ascii="宋体"/>
        </w:rPr>
      </w:pPr>
      <w:r>
        <w:rPr>
          <w:rFonts w:hint="eastAsia" w:ascii="宋体" w:hAnsi="宋体"/>
        </w:rPr>
        <w:t>法定代表人</w:t>
      </w:r>
      <w:r>
        <w:rPr>
          <w:rFonts w:hint="eastAsia" w:ascii="宋体" w:hAnsi="宋体" w:cs="宋体"/>
        </w:rPr>
        <w:t>（或负责人）</w:t>
      </w:r>
      <w:r>
        <w:rPr>
          <w:rFonts w:hint="eastAsia" w:ascii="宋体" w:hAnsi="宋体"/>
        </w:rPr>
        <w:t>签字或盖章：</w:t>
      </w:r>
      <w:r>
        <w:rPr>
          <w:rFonts w:ascii="宋体" w:hAnsi="宋体"/>
        </w:rPr>
        <w:t>_____________________________________</w:t>
      </w:r>
    </w:p>
    <w:p w14:paraId="2908921B">
      <w:pPr>
        <w:pStyle w:val="58"/>
        <w:spacing w:before="0" w:after="0" w:line="600" w:lineRule="exact"/>
        <w:rPr>
          <w:rFonts w:ascii="宋体"/>
        </w:rPr>
      </w:pPr>
      <w:r>
        <w:rPr>
          <w:rFonts w:hint="eastAsia" w:ascii="宋体" w:hAnsi="宋体"/>
        </w:rPr>
        <w:t>职务：</w:t>
      </w:r>
      <w:r>
        <w:rPr>
          <w:rFonts w:ascii="宋体" w:hAnsi="宋体"/>
        </w:rPr>
        <w:t>_____________________________________</w:t>
      </w:r>
    </w:p>
    <w:p w14:paraId="48D9D31A">
      <w:pPr>
        <w:pStyle w:val="58"/>
        <w:spacing w:before="0" w:after="0" w:line="600" w:lineRule="exact"/>
        <w:rPr>
          <w:rFonts w:ascii="宋体"/>
        </w:rPr>
      </w:pPr>
      <w:r>
        <w:rPr>
          <w:rFonts w:hint="eastAsia" w:ascii="宋体" w:hAnsi="宋体"/>
        </w:rPr>
        <w:t>单位名称：</w:t>
      </w:r>
      <w:r>
        <w:rPr>
          <w:rFonts w:ascii="宋体" w:hAnsi="宋体"/>
        </w:rPr>
        <w:t>_____________________________________</w:t>
      </w:r>
    </w:p>
    <w:p w14:paraId="6784563F">
      <w:pPr>
        <w:pStyle w:val="58"/>
        <w:spacing w:before="0" w:after="0" w:line="600" w:lineRule="exact"/>
        <w:rPr>
          <w:rFonts w:ascii="宋体"/>
        </w:rPr>
      </w:pPr>
      <w:r>
        <w:rPr>
          <w:rFonts w:hint="eastAsia" w:ascii="宋体" w:hAnsi="宋体"/>
        </w:rPr>
        <w:t>代理人（被授权人）签字或盖章：</w:t>
      </w:r>
      <w:r>
        <w:rPr>
          <w:rFonts w:ascii="宋体" w:hAnsi="宋体"/>
        </w:rPr>
        <w:t>_____________________________</w:t>
      </w:r>
    </w:p>
    <w:p w14:paraId="5AEDABDE">
      <w:pPr>
        <w:pStyle w:val="58"/>
        <w:spacing w:before="0" w:after="0" w:line="600" w:lineRule="exact"/>
        <w:rPr>
          <w:rFonts w:ascii="宋体"/>
        </w:rPr>
      </w:pPr>
      <w:r>
        <w:rPr>
          <w:rFonts w:hint="eastAsia" w:ascii="宋体" w:hAnsi="宋体"/>
        </w:rPr>
        <w:t>职务：</w:t>
      </w:r>
      <w:r>
        <w:rPr>
          <w:rFonts w:ascii="宋体" w:hAnsi="宋体"/>
        </w:rPr>
        <w:t>_____________________________________</w:t>
      </w:r>
    </w:p>
    <w:p w14:paraId="6AE73C96">
      <w:pPr>
        <w:pStyle w:val="58"/>
        <w:spacing w:before="0" w:after="0" w:line="600" w:lineRule="exact"/>
        <w:rPr>
          <w:rFonts w:ascii="宋体"/>
        </w:rPr>
      </w:pPr>
      <w:r>
        <w:rPr>
          <w:rFonts w:hint="eastAsia" w:ascii="宋体" w:hAnsi="宋体"/>
        </w:rPr>
        <w:t>单位名称：</w:t>
      </w:r>
      <w:r>
        <w:rPr>
          <w:rFonts w:ascii="宋体" w:hAnsi="宋体"/>
        </w:rPr>
        <w:t>_____________________________________</w:t>
      </w:r>
    </w:p>
    <w:p w14:paraId="440C37A2">
      <w:pPr>
        <w:pStyle w:val="58"/>
        <w:spacing w:before="0" w:after="0" w:line="600" w:lineRule="exact"/>
        <w:rPr>
          <w:rFonts w:ascii="宋体"/>
          <w:u w:val="single"/>
        </w:rPr>
      </w:pPr>
      <w:r>
        <w:rPr>
          <w:rFonts w:hint="eastAsia" w:ascii="宋体"/>
        </w:rPr>
        <w:t>联系电话：</w:t>
      </w:r>
      <w:r>
        <w:rPr>
          <w:rFonts w:hint="eastAsia" w:ascii="宋体"/>
          <w:u w:val="single"/>
        </w:rPr>
        <w:t xml:space="preserve">                        </w:t>
      </w:r>
    </w:p>
    <w:p w14:paraId="23BF267B">
      <w:pPr>
        <w:pStyle w:val="58"/>
        <w:spacing w:before="0" w:after="0" w:line="600" w:lineRule="exact"/>
        <w:rPr>
          <w:rFonts w:hint="eastAsia" w:ascii="宋体" w:hAnsi="宋体"/>
        </w:rPr>
      </w:pPr>
    </w:p>
    <w:p w14:paraId="77341459">
      <w:pPr>
        <w:pStyle w:val="58"/>
        <w:spacing w:before="0" w:after="0" w:line="600" w:lineRule="exact"/>
        <w:rPr>
          <w:rFonts w:ascii="宋体"/>
        </w:rPr>
      </w:pPr>
      <w:r>
        <w:rPr>
          <w:rFonts w:hint="eastAsia" w:ascii="宋体" w:hAnsi="宋体"/>
        </w:rPr>
        <w:t>投标人名称（公章）：</w:t>
      </w:r>
      <w:r>
        <w:rPr>
          <w:rFonts w:ascii="宋体" w:hAnsi="宋体"/>
        </w:rPr>
        <w:t>_____________________________________</w:t>
      </w:r>
    </w:p>
    <w:p w14:paraId="23FD881B">
      <w:pPr>
        <w:pStyle w:val="58"/>
        <w:spacing w:before="0" w:after="0" w:line="600" w:lineRule="exact"/>
        <w:rPr>
          <w:rFonts w:ascii="宋体"/>
        </w:rPr>
      </w:pPr>
      <w:r>
        <w:rPr>
          <w:rFonts w:hint="eastAsia" w:ascii="宋体" w:hAnsi="宋体"/>
        </w:rPr>
        <w:t>日期：</w:t>
      </w:r>
      <w:r>
        <w:rPr>
          <w:rFonts w:ascii="宋体" w:hAnsi="宋体"/>
        </w:rPr>
        <w:t>_____________________________________</w:t>
      </w:r>
    </w:p>
    <w:p w14:paraId="505B2B54">
      <w:pPr>
        <w:snapToGrid w:val="0"/>
        <w:spacing w:line="360" w:lineRule="auto"/>
        <w:rPr>
          <w:rFonts w:ascii="宋体"/>
          <w:sz w:val="24"/>
          <w:szCs w:val="24"/>
        </w:rPr>
      </w:pPr>
    </w:p>
    <w:p w14:paraId="549A2635">
      <w:pPr>
        <w:snapToGrid w:val="0"/>
        <w:spacing w:line="360" w:lineRule="auto"/>
        <w:rPr>
          <w:rFonts w:ascii="宋体"/>
          <w:b/>
          <w:sz w:val="24"/>
          <w:szCs w:val="24"/>
        </w:rPr>
      </w:pPr>
    </w:p>
    <w:p w14:paraId="38B8A049">
      <w:pPr>
        <w:snapToGrid w:val="0"/>
        <w:spacing w:line="360" w:lineRule="auto"/>
        <w:rPr>
          <w:rFonts w:ascii="宋体"/>
          <w:b/>
          <w:sz w:val="24"/>
          <w:szCs w:val="24"/>
        </w:rPr>
      </w:pPr>
      <w:r>
        <w:rPr>
          <w:rFonts w:hint="eastAsia" w:ascii="宋体" w:hAnsi="宋体"/>
          <w:b/>
          <w:sz w:val="24"/>
          <w:szCs w:val="24"/>
        </w:rPr>
        <w:t>附：</w:t>
      </w:r>
      <w:r>
        <w:rPr>
          <w:rFonts w:hint="eastAsia" w:ascii="宋体" w:hAnsi="宋体"/>
          <w:b/>
          <w:bCs/>
          <w:sz w:val="24"/>
        </w:rPr>
        <w:t>代理人（被授权人）身份证</w:t>
      </w:r>
      <w:r>
        <w:rPr>
          <w:rFonts w:hint="eastAsia" w:ascii="宋体" w:hAnsi="宋体"/>
          <w:b/>
          <w:sz w:val="24"/>
          <w:szCs w:val="24"/>
        </w:rPr>
        <w:t>复印件加盖红色实物公章</w:t>
      </w:r>
    </w:p>
    <w:p w14:paraId="1DE9F2FA">
      <w:pPr>
        <w:snapToGrid w:val="0"/>
        <w:spacing w:line="360" w:lineRule="auto"/>
        <w:rPr>
          <w:rFonts w:ascii="宋体"/>
          <w:sz w:val="24"/>
          <w:szCs w:val="24"/>
        </w:rPr>
      </w:pPr>
    </w:p>
    <w:p w14:paraId="331B2E39">
      <w:pPr>
        <w:rPr>
          <w:rFonts w:ascii="宋体"/>
        </w:rPr>
      </w:pPr>
    </w:p>
    <w:p w14:paraId="706CF2BE">
      <w:pPr>
        <w:adjustRightInd w:val="0"/>
        <w:snapToGrid w:val="0"/>
        <w:ind w:left="-88" w:leftChars="-42"/>
        <w:jc w:val="center"/>
        <w:outlineLvl w:val="0"/>
        <w:rPr>
          <w:rFonts w:ascii="宋体"/>
        </w:rPr>
        <w:sectPr>
          <w:pgSz w:w="11906" w:h="16838"/>
          <w:pgMar w:top="1417" w:right="1587" w:bottom="1417" w:left="1587" w:header="851" w:footer="992" w:gutter="0"/>
          <w:cols w:space="0" w:num="1"/>
          <w:docGrid w:linePitch="312" w:charSpace="0"/>
        </w:sectPr>
      </w:pPr>
    </w:p>
    <w:p w14:paraId="1FF2B6B8">
      <w:pPr>
        <w:rPr>
          <w:rFonts w:hint="eastAsia" w:ascii="宋体" w:hAnsi="宋体"/>
          <w:b/>
          <w:sz w:val="32"/>
          <w:szCs w:val="32"/>
        </w:rPr>
      </w:pPr>
    </w:p>
    <w:p w14:paraId="3D58673E">
      <w:pPr>
        <w:rPr>
          <w:rFonts w:hint="eastAsia" w:ascii="宋体" w:hAnsi="宋体"/>
          <w:b/>
          <w:sz w:val="32"/>
          <w:szCs w:val="32"/>
        </w:rPr>
      </w:pPr>
      <w:r>
        <w:rPr>
          <w:rFonts w:hint="eastAsia" w:ascii="宋体" w:hAnsi="宋体"/>
          <w:b/>
          <w:sz w:val="32"/>
          <w:szCs w:val="32"/>
        </w:rPr>
        <w:t>附件3</w:t>
      </w:r>
    </w:p>
    <w:p w14:paraId="037D8A6C">
      <w:pPr>
        <w:tabs>
          <w:tab w:val="left" w:pos="1260"/>
        </w:tabs>
        <w:snapToGrid w:val="0"/>
        <w:spacing w:line="300" w:lineRule="auto"/>
        <w:jc w:val="center"/>
        <w:rPr>
          <w:rFonts w:hint="eastAsia" w:ascii="宋体" w:hAnsi="宋体" w:cs="宋体"/>
          <w:b/>
          <w:sz w:val="32"/>
          <w:szCs w:val="32"/>
        </w:rPr>
      </w:pPr>
      <w:r>
        <w:rPr>
          <w:rFonts w:hint="eastAsia" w:ascii="宋体" w:hAnsi="宋体" w:cs="宋体"/>
          <w:b/>
          <w:sz w:val="32"/>
          <w:szCs w:val="32"/>
        </w:rPr>
        <w:t>投标人情况一览表</w:t>
      </w:r>
    </w:p>
    <w:tbl>
      <w:tblPr>
        <w:tblStyle w:val="27"/>
        <w:tblW w:w="9165"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2B9C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bottom w:val="single" w:color="auto" w:sz="4" w:space="0"/>
              <w:right w:val="single" w:color="auto" w:sz="4" w:space="0"/>
            </w:tcBorders>
            <w:noWrap/>
            <w:vAlign w:val="center"/>
          </w:tcPr>
          <w:p w14:paraId="0233FCFF">
            <w:pPr>
              <w:tabs>
                <w:tab w:val="left" w:pos="4320"/>
              </w:tabs>
              <w:jc w:val="center"/>
              <w:rPr>
                <w:rFonts w:hint="eastAsia" w:ascii="宋体" w:hAnsi="宋体" w:cs="宋体"/>
                <w:sz w:val="24"/>
              </w:rPr>
            </w:pPr>
            <w:r>
              <w:rPr>
                <w:rFonts w:hint="eastAsia" w:ascii="宋体" w:hAnsi="宋体" w:cs="宋体"/>
                <w:sz w:val="24"/>
              </w:rPr>
              <w:t>单位名称</w:t>
            </w:r>
          </w:p>
        </w:tc>
        <w:tc>
          <w:tcPr>
            <w:tcW w:w="7923" w:type="dxa"/>
            <w:gridSpan w:val="10"/>
            <w:tcBorders>
              <w:top w:val="double" w:color="auto" w:sz="4" w:space="0"/>
              <w:left w:val="single" w:color="auto" w:sz="4" w:space="0"/>
              <w:bottom w:val="single" w:color="auto" w:sz="4" w:space="0"/>
              <w:right w:val="double" w:color="auto" w:sz="4" w:space="0"/>
            </w:tcBorders>
            <w:noWrap/>
            <w:vAlign w:val="center"/>
          </w:tcPr>
          <w:p w14:paraId="1F7D791D">
            <w:pPr>
              <w:tabs>
                <w:tab w:val="left" w:pos="4320"/>
              </w:tabs>
              <w:rPr>
                <w:rFonts w:hint="eastAsia" w:ascii="宋体" w:hAnsi="宋体" w:cs="宋体"/>
                <w:sz w:val="24"/>
              </w:rPr>
            </w:pPr>
          </w:p>
        </w:tc>
      </w:tr>
      <w:tr w14:paraId="21FA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top w:val="single" w:color="auto" w:sz="4" w:space="0"/>
              <w:left w:val="double" w:color="auto" w:sz="4" w:space="0"/>
              <w:bottom w:val="single" w:color="auto" w:sz="4" w:space="0"/>
              <w:right w:val="single" w:color="auto" w:sz="4" w:space="0"/>
            </w:tcBorders>
            <w:noWrap/>
            <w:vAlign w:val="center"/>
          </w:tcPr>
          <w:p w14:paraId="1B2D5547">
            <w:pPr>
              <w:tabs>
                <w:tab w:val="left" w:pos="4320"/>
              </w:tabs>
              <w:rPr>
                <w:rFonts w:hint="eastAsia" w:ascii="宋体" w:hAnsi="宋体" w:cs="宋体"/>
                <w:sz w:val="24"/>
              </w:rPr>
            </w:pPr>
            <w:r>
              <w:rPr>
                <w:rFonts w:hint="eastAsia" w:ascii="宋体" w:hAnsi="宋体" w:cs="宋体"/>
                <w:sz w:val="24"/>
              </w:rPr>
              <w:t>单位优势及特长</w:t>
            </w:r>
          </w:p>
        </w:tc>
        <w:tc>
          <w:tcPr>
            <w:tcW w:w="7072" w:type="dxa"/>
            <w:gridSpan w:val="9"/>
            <w:tcBorders>
              <w:top w:val="single" w:color="auto" w:sz="4" w:space="0"/>
              <w:left w:val="single" w:color="auto" w:sz="4" w:space="0"/>
              <w:bottom w:val="single" w:color="auto" w:sz="4" w:space="0"/>
              <w:right w:val="double" w:color="auto" w:sz="4" w:space="0"/>
            </w:tcBorders>
            <w:noWrap/>
            <w:vAlign w:val="center"/>
          </w:tcPr>
          <w:p w14:paraId="352D3293">
            <w:pPr>
              <w:tabs>
                <w:tab w:val="left" w:pos="4320"/>
              </w:tabs>
              <w:rPr>
                <w:rFonts w:hint="eastAsia" w:ascii="宋体" w:hAnsi="宋体" w:cs="宋体"/>
                <w:sz w:val="24"/>
              </w:rPr>
            </w:pPr>
          </w:p>
        </w:tc>
      </w:tr>
      <w:tr w14:paraId="42DF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top w:val="single" w:color="auto" w:sz="4" w:space="0"/>
              <w:left w:val="double" w:color="auto" w:sz="4" w:space="0"/>
              <w:bottom w:val="single" w:color="auto" w:sz="4" w:space="0"/>
              <w:right w:val="single" w:color="auto" w:sz="4" w:space="0"/>
            </w:tcBorders>
            <w:noWrap/>
            <w:vAlign w:val="center"/>
          </w:tcPr>
          <w:p w14:paraId="10743C5D">
            <w:pPr>
              <w:tabs>
                <w:tab w:val="left" w:pos="4320"/>
              </w:tabs>
              <w:ind w:left="266" w:hanging="266" w:hangingChars="111"/>
              <w:rPr>
                <w:rFonts w:hint="eastAsia" w:ascii="宋体" w:hAnsi="宋体" w:cs="宋体"/>
                <w:sz w:val="24"/>
              </w:rPr>
            </w:pPr>
            <w:r>
              <w:rPr>
                <w:rFonts w:hint="eastAsia" w:ascii="宋体" w:hAnsi="宋体" w:cs="宋体"/>
                <w:sz w:val="24"/>
              </w:rPr>
              <w:t>单位</w:t>
            </w:r>
          </w:p>
          <w:p w14:paraId="563C6D89">
            <w:pPr>
              <w:tabs>
                <w:tab w:val="left" w:pos="4320"/>
              </w:tabs>
              <w:ind w:left="266" w:hanging="266" w:hangingChars="111"/>
              <w:rPr>
                <w:rFonts w:hint="eastAsia" w:ascii="宋体" w:hAnsi="宋体" w:cs="宋体"/>
                <w:sz w:val="24"/>
              </w:rPr>
            </w:pPr>
            <w:r>
              <w:rPr>
                <w:rFonts w:hint="eastAsia" w:ascii="宋体" w:hAnsi="宋体" w:cs="宋体"/>
                <w:sz w:val="24"/>
              </w:rPr>
              <w:t>概况</w:t>
            </w:r>
          </w:p>
        </w:tc>
        <w:tc>
          <w:tcPr>
            <w:tcW w:w="1276" w:type="dxa"/>
            <w:gridSpan w:val="2"/>
            <w:tcBorders>
              <w:top w:val="single" w:color="auto" w:sz="4" w:space="0"/>
              <w:left w:val="single" w:color="auto" w:sz="4" w:space="0"/>
              <w:bottom w:val="single" w:color="auto" w:sz="4" w:space="0"/>
              <w:right w:val="single" w:color="auto" w:sz="4" w:space="0"/>
            </w:tcBorders>
            <w:noWrap/>
            <w:vAlign w:val="center"/>
          </w:tcPr>
          <w:p w14:paraId="674311FC">
            <w:pPr>
              <w:tabs>
                <w:tab w:val="left" w:pos="4320"/>
              </w:tabs>
              <w:jc w:val="center"/>
              <w:rPr>
                <w:rFonts w:hint="eastAsia" w:ascii="宋体" w:hAnsi="宋体" w:cs="宋体"/>
                <w:sz w:val="24"/>
              </w:rPr>
            </w:pPr>
            <w:r>
              <w:rPr>
                <w:rFonts w:hint="eastAsia" w:ascii="宋体" w:hAnsi="宋体" w:cs="宋体"/>
                <w:sz w:val="24"/>
              </w:rPr>
              <w:t>职工总数</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315DBFF">
            <w:pPr>
              <w:tabs>
                <w:tab w:val="left" w:pos="4320"/>
              </w:tabs>
              <w:jc w:val="right"/>
              <w:rPr>
                <w:rFonts w:hint="eastAsia" w:ascii="宋体" w:hAnsi="宋体" w:cs="宋体"/>
                <w:sz w:val="24"/>
              </w:rPr>
            </w:pPr>
            <w:r>
              <w:rPr>
                <w:rFonts w:hint="eastAsia" w:ascii="宋体" w:hAnsi="宋体" w:cs="宋体"/>
                <w:sz w:val="24"/>
              </w:rPr>
              <w:t>人</w:t>
            </w:r>
          </w:p>
        </w:tc>
        <w:tc>
          <w:tcPr>
            <w:tcW w:w="567" w:type="dxa"/>
            <w:vMerge w:val="restart"/>
            <w:tcBorders>
              <w:top w:val="single" w:color="auto" w:sz="4" w:space="0"/>
              <w:left w:val="single" w:color="auto" w:sz="4" w:space="0"/>
              <w:bottom w:val="single" w:color="auto" w:sz="4" w:space="0"/>
              <w:right w:val="single" w:color="auto" w:sz="4" w:space="0"/>
            </w:tcBorders>
            <w:noWrap/>
            <w:vAlign w:val="center"/>
          </w:tcPr>
          <w:p w14:paraId="48A58B3F">
            <w:pPr>
              <w:tabs>
                <w:tab w:val="left" w:pos="4320"/>
              </w:tabs>
              <w:rPr>
                <w:rFonts w:hint="eastAsia" w:ascii="宋体" w:hAnsi="宋体" w:cs="宋体"/>
                <w:sz w:val="24"/>
              </w:rPr>
            </w:pPr>
            <w:r>
              <w:rPr>
                <w:rFonts w:hint="eastAsia" w:ascii="宋体" w:hAnsi="宋体" w:cs="宋体"/>
                <w:sz w:val="24"/>
              </w:rPr>
              <w:t>上一年主要经济指标</w:t>
            </w:r>
          </w:p>
        </w:tc>
        <w:tc>
          <w:tcPr>
            <w:tcW w:w="946" w:type="dxa"/>
            <w:tcBorders>
              <w:top w:val="single" w:color="auto" w:sz="4" w:space="0"/>
              <w:left w:val="single" w:color="auto" w:sz="4" w:space="0"/>
              <w:bottom w:val="single" w:color="auto" w:sz="4" w:space="0"/>
              <w:right w:val="single" w:color="auto" w:sz="4" w:space="0"/>
            </w:tcBorders>
            <w:noWrap/>
            <w:vAlign w:val="center"/>
          </w:tcPr>
          <w:p w14:paraId="11DBBFEA">
            <w:pPr>
              <w:tabs>
                <w:tab w:val="left" w:pos="4320"/>
              </w:tabs>
              <w:jc w:val="center"/>
              <w:rPr>
                <w:rFonts w:hint="eastAsia" w:ascii="宋体" w:hAnsi="宋体" w:cs="宋体"/>
                <w:sz w:val="24"/>
              </w:rPr>
            </w:pPr>
            <w:r>
              <w:rPr>
                <w:rFonts w:hint="eastAsia" w:ascii="宋体" w:hAnsi="宋体" w:cs="宋体"/>
                <w:sz w:val="24"/>
              </w:rPr>
              <w:t>营业额</w:t>
            </w:r>
          </w:p>
        </w:tc>
        <w:tc>
          <w:tcPr>
            <w:tcW w:w="1414" w:type="dxa"/>
            <w:gridSpan w:val="2"/>
            <w:tcBorders>
              <w:top w:val="single" w:color="auto" w:sz="4" w:space="0"/>
              <w:left w:val="single" w:color="auto" w:sz="4" w:space="0"/>
              <w:bottom w:val="single" w:color="auto" w:sz="4" w:space="0"/>
              <w:right w:val="single" w:color="auto" w:sz="4" w:space="0"/>
            </w:tcBorders>
            <w:noWrap/>
            <w:vAlign w:val="center"/>
          </w:tcPr>
          <w:p w14:paraId="365E272F">
            <w:pPr>
              <w:tabs>
                <w:tab w:val="left" w:pos="4320"/>
              </w:tabs>
              <w:rPr>
                <w:rFonts w:hint="eastAsia" w:ascii="宋体" w:hAnsi="宋体" w:cs="宋体"/>
                <w:sz w:val="24"/>
              </w:rPr>
            </w:pPr>
          </w:p>
        </w:tc>
        <w:tc>
          <w:tcPr>
            <w:tcW w:w="1184" w:type="dxa"/>
            <w:gridSpan w:val="2"/>
            <w:tcBorders>
              <w:top w:val="single" w:color="auto" w:sz="4" w:space="0"/>
              <w:left w:val="single" w:color="auto" w:sz="4" w:space="0"/>
              <w:bottom w:val="single" w:color="auto" w:sz="4" w:space="0"/>
              <w:right w:val="single" w:color="auto" w:sz="4" w:space="0"/>
            </w:tcBorders>
            <w:noWrap/>
            <w:vAlign w:val="center"/>
          </w:tcPr>
          <w:p w14:paraId="5512123C">
            <w:pPr>
              <w:tabs>
                <w:tab w:val="left" w:pos="4320"/>
              </w:tabs>
              <w:jc w:val="center"/>
              <w:rPr>
                <w:rFonts w:hint="eastAsia" w:ascii="宋体" w:hAnsi="宋体" w:cs="宋体"/>
                <w:sz w:val="24"/>
              </w:rPr>
            </w:pPr>
            <w:r>
              <w:rPr>
                <w:rFonts w:hint="eastAsia" w:ascii="宋体" w:hAnsi="宋体" w:cs="宋体"/>
                <w:sz w:val="24"/>
              </w:rPr>
              <w:t>实现利润</w:t>
            </w:r>
          </w:p>
        </w:tc>
        <w:tc>
          <w:tcPr>
            <w:tcW w:w="1544" w:type="dxa"/>
            <w:tcBorders>
              <w:top w:val="single" w:color="auto" w:sz="4" w:space="0"/>
              <w:left w:val="single" w:color="auto" w:sz="4" w:space="0"/>
              <w:bottom w:val="single" w:color="auto" w:sz="4" w:space="0"/>
              <w:right w:val="double" w:color="auto" w:sz="4" w:space="0"/>
            </w:tcBorders>
            <w:noWrap/>
            <w:vAlign w:val="center"/>
          </w:tcPr>
          <w:p w14:paraId="315271AC">
            <w:pPr>
              <w:tabs>
                <w:tab w:val="left" w:pos="4320"/>
              </w:tabs>
              <w:rPr>
                <w:rFonts w:hint="eastAsia" w:ascii="宋体" w:hAnsi="宋体" w:cs="宋体"/>
                <w:sz w:val="24"/>
              </w:rPr>
            </w:pPr>
          </w:p>
        </w:tc>
      </w:tr>
      <w:tr w14:paraId="5E54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top w:val="single" w:color="auto" w:sz="4" w:space="0"/>
              <w:left w:val="double" w:color="auto" w:sz="4" w:space="0"/>
              <w:bottom w:val="single" w:color="auto" w:sz="4" w:space="0"/>
              <w:right w:val="single" w:color="auto" w:sz="4" w:space="0"/>
            </w:tcBorders>
            <w:noWrap/>
            <w:vAlign w:val="center"/>
          </w:tcPr>
          <w:p w14:paraId="18121175">
            <w:pPr>
              <w:widowControl/>
              <w:jc w:val="left"/>
              <w:rPr>
                <w:rFonts w:hint="eastAsia" w:ascii="宋体" w:hAnsi="宋体" w:cs="宋体"/>
                <w:sz w:val="24"/>
              </w:rPr>
            </w:pPr>
          </w:p>
        </w:tc>
        <w:tc>
          <w:tcPr>
            <w:tcW w:w="1276" w:type="dxa"/>
            <w:gridSpan w:val="2"/>
            <w:tcBorders>
              <w:top w:val="single" w:color="auto" w:sz="4" w:space="0"/>
              <w:left w:val="single" w:color="auto" w:sz="4" w:space="0"/>
              <w:bottom w:val="single" w:color="auto" w:sz="4" w:space="0"/>
              <w:right w:val="single" w:color="auto" w:sz="4" w:space="0"/>
            </w:tcBorders>
            <w:noWrap/>
            <w:vAlign w:val="center"/>
          </w:tcPr>
          <w:p w14:paraId="0834872E">
            <w:pPr>
              <w:tabs>
                <w:tab w:val="left" w:pos="4320"/>
              </w:tabs>
              <w:jc w:val="center"/>
              <w:rPr>
                <w:rFonts w:hint="eastAsia" w:ascii="宋体" w:hAnsi="宋体" w:cs="宋体"/>
                <w:sz w:val="24"/>
              </w:rPr>
            </w:pPr>
            <w:r>
              <w:rPr>
                <w:rFonts w:hint="eastAsia" w:ascii="宋体" w:hAnsi="宋体" w:cs="宋体"/>
                <w:sz w:val="24"/>
              </w:rPr>
              <w:t>流动资金</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6232A2BC">
            <w:pPr>
              <w:tabs>
                <w:tab w:val="left" w:pos="4320"/>
              </w:tabs>
              <w:jc w:val="right"/>
              <w:rPr>
                <w:rFonts w:hint="eastAsia" w:ascii="宋体" w:hAnsi="宋体" w:cs="宋体"/>
                <w:sz w:val="24"/>
              </w:rPr>
            </w:pPr>
            <w:r>
              <w:rPr>
                <w:rFonts w:hint="eastAsia" w:ascii="宋体" w:hAnsi="宋体" w:cs="宋体"/>
                <w:sz w:val="24"/>
              </w:rPr>
              <w:t>万元</w:t>
            </w:r>
          </w:p>
        </w:tc>
        <w:tc>
          <w:tcPr>
            <w:tcW w:w="567" w:type="dxa"/>
            <w:vMerge w:val="continue"/>
            <w:tcBorders>
              <w:top w:val="single" w:color="auto" w:sz="4" w:space="0"/>
              <w:left w:val="single" w:color="auto" w:sz="4" w:space="0"/>
              <w:bottom w:val="single" w:color="auto" w:sz="4" w:space="0"/>
              <w:right w:val="single" w:color="auto" w:sz="4" w:space="0"/>
            </w:tcBorders>
            <w:noWrap/>
            <w:vAlign w:val="center"/>
          </w:tcPr>
          <w:p w14:paraId="4B99FAE3">
            <w:pPr>
              <w:widowControl/>
              <w:jc w:val="left"/>
              <w:rPr>
                <w:rFonts w:hint="eastAsia" w:ascii="宋体" w:hAnsi="宋体" w:cs="宋体"/>
                <w:sz w:val="24"/>
              </w:rPr>
            </w:pPr>
          </w:p>
        </w:tc>
        <w:tc>
          <w:tcPr>
            <w:tcW w:w="946" w:type="dxa"/>
            <w:vMerge w:val="restart"/>
            <w:tcBorders>
              <w:top w:val="single" w:color="auto" w:sz="4" w:space="0"/>
              <w:left w:val="single" w:color="auto" w:sz="4" w:space="0"/>
              <w:bottom w:val="single" w:color="auto" w:sz="4" w:space="0"/>
              <w:right w:val="single" w:color="auto" w:sz="4" w:space="0"/>
            </w:tcBorders>
            <w:noWrap/>
            <w:vAlign w:val="center"/>
          </w:tcPr>
          <w:p w14:paraId="6D3AA237">
            <w:pPr>
              <w:tabs>
                <w:tab w:val="left" w:pos="4320"/>
              </w:tabs>
              <w:jc w:val="center"/>
              <w:rPr>
                <w:rFonts w:hint="eastAsia" w:ascii="宋体" w:hAnsi="宋体" w:cs="宋体"/>
                <w:sz w:val="24"/>
              </w:rPr>
            </w:pPr>
            <w:r>
              <w:rPr>
                <w:rFonts w:hint="eastAsia" w:ascii="宋体" w:hAnsi="宋体" w:cs="宋体"/>
                <w:sz w:val="24"/>
              </w:rPr>
              <w:t>主要</w:t>
            </w:r>
          </w:p>
          <w:p w14:paraId="7D6E0A51">
            <w:pPr>
              <w:tabs>
                <w:tab w:val="left" w:pos="4320"/>
              </w:tabs>
              <w:jc w:val="center"/>
              <w:rPr>
                <w:rFonts w:hint="eastAsia" w:ascii="宋体" w:hAnsi="宋体" w:cs="宋体"/>
                <w:sz w:val="24"/>
              </w:rPr>
            </w:pPr>
            <w:r>
              <w:rPr>
                <w:rFonts w:hint="eastAsia" w:ascii="宋体" w:hAnsi="宋体" w:cs="宋体"/>
                <w:sz w:val="24"/>
              </w:rPr>
              <w:t>产品</w:t>
            </w:r>
          </w:p>
        </w:tc>
        <w:tc>
          <w:tcPr>
            <w:tcW w:w="4142" w:type="dxa"/>
            <w:gridSpan w:val="5"/>
            <w:tcBorders>
              <w:top w:val="single" w:color="auto" w:sz="4" w:space="0"/>
              <w:left w:val="single" w:color="auto" w:sz="4" w:space="0"/>
              <w:bottom w:val="single" w:color="auto" w:sz="4" w:space="0"/>
              <w:right w:val="double" w:color="auto" w:sz="4" w:space="0"/>
            </w:tcBorders>
            <w:noWrap/>
            <w:vAlign w:val="center"/>
          </w:tcPr>
          <w:p w14:paraId="018ECCD3">
            <w:pPr>
              <w:tabs>
                <w:tab w:val="left" w:pos="4320"/>
              </w:tabs>
              <w:spacing w:before="120" w:after="120"/>
              <w:rPr>
                <w:rFonts w:hint="eastAsia" w:ascii="宋体" w:hAnsi="宋体" w:cs="宋体"/>
                <w:sz w:val="24"/>
              </w:rPr>
            </w:pPr>
            <w:r>
              <w:rPr>
                <w:rFonts w:hint="eastAsia" w:ascii="宋体" w:hAnsi="宋体" w:cs="宋体"/>
                <w:sz w:val="24"/>
              </w:rPr>
              <w:t>1.</w:t>
            </w:r>
          </w:p>
        </w:tc>
      </w:tr>
      <w:tr w14:paraId="2652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top w:val="single" w:color="auto" w:sz="4" w:space="0"/>
              <w:left w:val="double" w:color="auto" w:sz="4" w:space="0"/>
              <w:bottom w:val="single" w:color="auto" w:sz="4" w:space="0"/>
              <w:right w:val="single" w:color="auto" w:sz="4" w:space="0"/>
            </w:tcBorders>
            <w:noWrap/>
            <w:vAlign w:val="center"/>
          </w:tcPr>
          <w:p w14:paraId="695F2AA8">
            <w:pPr>
              <w:widowControl/>
              <w:jc w:val="left"/>
              <w:rPr>
                <w:rFonts w:hint="eastAsia" w:ascii="宋体" w:hAnsi="宋体" w:cs="宋体"/>
                <w:sz w:val="24"/>
              </w:rPr>
            </w:pPr>
          </w:p>
        </w:tc>
        <w:tc>
          <w:tcPr>
            <w:tcW w:w="1276" w:type="dxa"/>
            <w:gridSpan w:val="2"/>
            <w:tcBorders>
              <w:top w:val="single" w:color="auto" w:sz="4" w:space="0"/>
              <w:left w:val="single" w:color="auto" w:sz="4" w:space="0"/>
              <w:bottom w:val="single" w:color="auto" w:sz="4" w:space="0"/>
              <w:right w:val="single" w:color="auto" w:sz="4" w:space="0"/>
            </w:tcBorders>
            <w:noWrap/>
            <w:vAlign w:val="center"/>
          </w:tcPr>
          <w:p w14:paraId="02F46892">
            <w:pPr>
              <w:tabs>
                <w:tab w:val="left" w:pos="4320"/>
              </w:tabs>
              <w:jc w:val="center"/>
              <w:rPr>
                <w:rFonts w:hint="eastAsia" w:ascii="宋体" w:hAnsi="宋体" w:cs="宋体"/>
                <w:sz w:val="24"/>
              </w:rPr>
            </w:pPr>
            <w:r>
              <w:rPr>
                <w:rFonts w:hint="eastAsia" w:ascii="宋体" w:hAnsi="宋体" w:cs="宋体"/>
                <w:sz w:val="24"/>
              </w:rPr>
              <w:t>固定资产</w:t>
            </w:r>
          </w:p>
          <w:p w14:paraId="755C4DFA">
            <w:pPr>
              <w:tabs>
                <w:tab w:val="left" w:pos="4320"/>
              </w:tabs>
              <w:jc w:val="center"/>
              <w:rPr>
                <w:rFonts w:hint="eastAsia" w:ascii="宋体" w:hAnsi="宋体" w:cs="宋体"/>
                <w:sz w:val="24"/>
              </w:rPr>
            </w:pPr>
            <w:r>
              <w:rPr>
                <w:rFonts w:hint="eastAsia" w:ascii="宋体" w:hAnsi="宋体" w:cs="宋体"/>
                <w:sz w:val="24"/>
              </w:rPr>
              <w:t>（万元）</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71285EB7">
            <w:pPr>
              <w:tabs>
                <w:tab w:val="left" w:pos="-48"/>
                <w:tab w:val="left" w:pos="4320"/>
              </w:tabs>
              <w:ind w:right="-133" w:hanging="48"/>
              <w:rPr>
                <w:rFonts w:hint="eastAsia" w:ascii="宋体" w:hAnsi="宋体" w:cs="宋体"/>
                <w:sz w:val="24"/>
              </w:rPr>
            </w:pPr>
            <w:r>
              <w:rPr>
                <w:rFonts w:hint="eastAsia" w:ascii="宋体" w:hAnsi="宋体" w:cs="宋体"/>
                <w:sz w:val="24"/>
              </w:rPr>
              <w:t>原值：</w:t>
            </w:r>
          </w:p>
          <w:p w14:paraId="34C67CCE">
            <w:pPr>
              <w:tabs>
                <w:tab w:val="left" w:pos="-48"/>
                <w:tab w:val="left" w:pos="4320"/>
              </w:tabs>
              <w:ind w:hanging="48"/>
              <w:jc w:val="right"/>
              <w:rPr>
                <w:rFonts w:hint="eastAsia" w:ascii="宋体" w:hAnsi="宋体" w:cs="宋体"/>
                <w:sz w:val="24"/>
              </w:rPr>
            </w:pPr>
          </w:p>
          <w:p w14:paraId="3DAEBB16">
            <w:pPr>
              <w:tabs>
                <w:tab w:val="left" w:pos="-48"/>
                <w:tab w:val="left" w:pos="4320"/>
              </w:tabs>
              <w:ind w:right="-133" w:hanging="48"/>
              <w:rPr>
                <w:rFonts w:hint="eastAsia" w:ascii="宋体" w:hAnsi="宋体" w:cs="宋体"/>
                <w:sz w:val="24"/>
              </w:rPr>
            </w:pPr>
            <w:r>
              <w:rPr>
                <w:rFonts w:hint="eastAsia" w:ascii="宋体" w:hAnsi="宋体" w:cs="宋体"/>
                <w:sz w:val="24"/>
              </w:rPr>
              <w:t>净值：</w:t>
            </w:r>
          </w:p>
          <w:p w14:paraId="734C0312">
            <w:pPr>
              <w:tabs>
                <w:tab w:val="left" w:pos="-48"/>
                <w:tab w:val="left" w:pos="4320"/>
              </w:tabs>
              <w:ind w:hanging="48"/>
              <w:jc w:val="right"/>
              <w:rPr>
                <w:rFonts w:hint="eastAsia" w:ascii="宋体" w:hAnsi="宋体" w:cs="宋体"/>
                <w:sz w:val="24"/>
              </w:rPr>
            </w:pPr>
          </w:p>
        </w:tc>
        <w:tc>
          <w:tcPr>
            <w:tcW w:w="567" w:type="dxa"/>
            <w:vMerge w:val="continue"/>
            <w:tcBorders>
              <w:top w:val="single" w:color="auto" w:sz="4" w:space="0"/>
              <w:left w:val="single" w:color="auto" w:sz="4" w:space="0"/>
              <w:bottom w:val="single" w:color="auto" w:sz="4" w:space="0"/>
              <w:right w:val="single" w:color="auto" w:sz="4" w:space="0"/>
            </w:tcBorders>
            <w:noWrap/>
            <w:vAlign w:val="center"/>
          </w:tcPr>
          <w:p w14:paraId="461EBFB3">
            <w:pPr>
              <w:widowControl/>
              <w:jc w:val="left"/>
              <w:rPr>
                <w:rFonts w:hint="eastAsia" w:ascii="宋体" w:hAnsi="宋体" w:cs="宋体"/>
                <w:sz w:val="24"/>
              </w:rPr>
            </w:pPr>
          </w:p>
        </w:tc>
        <w:tc>
          <w:tcPr>
            <w:tcW w:w="946" w:type="dxa"/>
            <w:vMerge w:val="continue"/>
            <w:tcBorders>
              <w:top w:val="single" w:color="auto" w:sz="4" w:space="0"/>
              <w:left w:val="single" w:color="auto" w:sz="4" w:space="0"/>
              <w:bottom w:val="single" w:color="auto" w:sz="4" w:space="0"/>
              <w:right w:val="single" w:color="auto" w:sz="4" w:space="0"/>
            </w:tcBorders>
            <w:noWrap/>
            <w:vAlign w:val="center"/>
          </w:tcPr>
          <w:p w14:paraId="24AD211A">
            <w:pPr>
              <w:widowControl/>
              <w:jc w:val="left"/>
              <w:rPr>
                <w:rFonts w:hint="eastAsia" w:ascii="宋体" w:hAnsi="宋体" w:cs="宋体"/>
                <w:sz w:val="24"/>
              </w:rPr>
            </w:pPr>
          </w:p>
        </w:tc>
        <w:tc>
          <w:tcPr>
            <w:tcW w:w="4142" w:type="dxa"/>
            <w:gridSpan w:val="5"/>
            <w:tcBorders>
              <w:top w:val="single" w:color="auto" w:sz="4" w:space="0"/>
              <w:left w:val="single" w:color="auto" w:sz="4" w:space="0"/>
              <w:bottom w:val="single" w:color="auto" w:sz="4" w:space="0"/>
              <w:right w:val="double" w:color="auto" w:sz="4" w:space="0"/>
            </w:tcBorders>
            <w:noWrap/>
            <w:vAlign w:val="center"/>
          </w:tcPr>
          <w:p w14:paraId="20DBAB94">
            <w:pPr>
              <w:tabs>
                <w:tab w:val="left" w:pos="4320"/>
              </w:tabs>
              <w:rPr>
                <w:rFonts w:hint="eastAsia" w:ascii="宋体" w:hAnsi="宋体" w:cs="宋体"/>
                <w:sz w:val="24"/>
              </w:rPr>
            </w:pPr>
            <w:r>
              <w:rPr>
                <w:rFonts w:hint="eastAsia" w:ascii="宋体" w:hAnsi="宋体" w:cs="宋体"/>
                <w:sz w:val="24"/>
              </w:rPr>
              <w:t>2.</w:t>
            </w:r>
          </w:p>
        </w:tc>
      </w:tr>
      <w:tr w14:paraId="128E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top w:val="single" w:color="auto" w:sz="4" w:space="0"/>
              <w:left w:val="double" w:color="auto" w:sz="4" w:space="0"/>
              <w:bottom w:val="single" w:color="auto" w:sz="4" w:space="0"/>
              <w:right w:val="single" w:color="auto" w:sz="4" w:space="0"/>
            </w:tcBorders>
            <w:noWrap/>
            <w:vAlign w:val="center"/>
          </w:tcPr>
          <w:p w14:paraId="347E0993">
            <w:pPr>
              <w:widowControl/>
              <w:jc w:val="left"/>
              <w:rPr>
                <w:rFonts w:hint="eastAsia" w:ascii="宋体" w:hAnsi="宋体" w:cs="宋体"/>
                <w:sz w:val="24"/>
              </w:rPr>
            </w:pPr>
          </w:p>
        </w:tc>
        <w:tc>
          <w:tcPr>
            <w:tcW w:w="1276" w:type="dxa"/>
            <w:gridSpan w:val="2"/>
            <w:tcBorders>
              <w:top w:val="single" w:color="auto" w:sz="4" w:space="0"/>
              <w:left w:val="single" w:color="auto" w:sz="4" w:space="0"/>
              <w:bottom w:val="single" w:color="auto" w:sz="4" w:space="0"/>
              <w:right w:val="single" w:color="auto" w:sz="4" w:space="0"/>
            </w:tcBorders>
            <w:noWrap/>
            <w:vAlign w:val="center"/>
          </w:tcPr>
          <w:p w14:paraId="624213CF">
            <w:pPr>
              <w:tabs>
                <w:tab w:val="left" w:pos="4320"/>
              </w:tabs>
              <w:jc w:val="center"/>
              <w:rPr>
                <w:rFonts w:hint="eastAsia" w:ascii="宋体" w:hAnsi="宋体" w:cs="宋体"/>
                <w:sz w:val="24"/>
              </w:rPr>
            </w:pPr>
            <w:r>
              <w:rPr>
                <w:rFonts w:hint="eastAsia" w:ascii="宋体" w:hAnsi="宋体" w:cs="宋体"/>
                <w:sz w:val="24"/>
              </w:rPr>
              <w:t>占地面积</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14:paraId="1BFECA03">
            <w:pPr>
              <w:tabs>
                <w:tab w:val="left" w:pos="4320"/>
              </w:tabs>
              <w:jc w:val="right"/>
              <w:rPr>
                <w:rFonts w:hint="eastAsia" w:ascii="宋体" w:hAnsi="宋体" w:cs="宋体"/>
                <w:sz w:val="24"/>
              </w:rPr>
            </w:pPr>
            <w:r>
              <w:rPr>
                <w:rFonts w:hint="eastAsia" w:ascii="宋体" w:hAnsi="宋体" w:cs="宋体"/>
                <w:sz w:val="24"/>
              </w:rPr>
              <w:t>M</w:t>
            </w:r>
            <w:r>
              <w:rPr>
                <w:rFonts w:hint="eastAsia" w:ascii="宋体" w:hAnsi="宋体" w:cs="宋体"/>
                <w:sz w:val="24"/>
                <w:vertAlign w:val="superscript"/>
              </w:rPr>
              <w:t>2</w:t>
            </w:r>
          </w:p>
        </w:tc>
        <w:tc>
          <w:tcPr>
            <w:tcW w:w="567" w:type="dxa"/>
            <w:vMerge w:val="continue"/>
            <w:tcBorders>
              <w:top w:val="single" w:color="auto" w:sz="4" w:space="0"/>
              <w:left w:val="single" w:color="auto" w:sz="4" w:space="0"/>
              <w:bottom w:val="single" w:color="auto" w:sz="4" w:space="0"/>
              <w:right w:val="single" w:color="auto" w:sz="4" w:space="0"/>
            </w:tcBorders>
            <w:noWrap/>
            <w:vAlign w:val="center"/>
          </w:tcPr>
          <w:p w14:paraId="18989874">
            <w:pPr>
              <w:widowControl/>
              <w:jc w:val="left"/>
              <w:rPr>
                <w:rFonts w:hint="eastAsia" w:ascii="宋体" w:hAnsi="宋体" w:cs="宋体"/>
                <w:sz w:val="24"/>
              </w:rPr>
            </w:pPr>
          </w:p>
        </w:tc>
        <w:tc>
          <w:tcPr>
            <w:tcW w:w="946" w:type="dxa"/>
            <w:vMerge w:val="continue"/>
            <w:tcBorders>
              <w:top w:val="single" w:color="auto" w:sz="4" w:space="0"/>
              <w:left w:val="single" w:color="auto" w:sz="4" w:space="0"/>
              <w:bottom w:val="single" w:color="auto" w:sz="4" w:space="0"/>
              <w:right w:val="single" w:color="auto" w:sz="4" w:space="0"/>
            </w:tcBorders>
            <w:noWrap/>
            <w:vAlign w:val="center"/>
          </w:tcPr>
          <w:p w14:paraId="311D58EF">
            <w:pPr>
              <w:widowControl/>
              <w:jc w:val="left"/>
              <w:rPr>
                <w:rFonts w:hint="eastAsia" w:ascii="宋体" w:hAnsi="宋体" w:cs="宋体"/>
                <w:sz w:val="24"/>
              </w:rPr>
            </w:pPr>
          </w:p>
        </w:tc>
        <w:tc>
          <w:tcPr>
            <w:tcW w:w="4142" w:type="dxa"/>
            <w:gridSpan w:val="5"/>
            <w:tcBorders>
              <w:top w:val="single" w:color="auto" w:sz="4" w:space="0"/>
              <w:left w:val="single" w:color="auto" w:sz="4" w:space="0"/>
              <w:bottom w:val="single" w:color="auto" w:sz="4" w:space="0"/>
              <w:right w:val="double" w:color="auto" w:sz="4" w:space="0"/>
            </w:tcBorders>
            <w:noWrap/>
            <w:vAlign w:val="center"/>
          </w:tcPr>
          <w:p w14:paraId="4DE9848B">
            <w:pPr>
              <w:tabs>
                <w:tab w:val="left" w:pos="4320"/>
              </w:tabs>
              <w:spacing w:before="120" w:after="120"/>
              <w:rPr>
                <w:rFonts w:hint="eastAsia" w:ascii="宋体" w:hAnsi="宋体" w:cs="宋体"/>
                <w:sz w:val="24"/>
              </w:rPr>
            </w:pPr>
            <w:r>
              <w:rPr>
                <w:rFonts w:hint="eastAsia" w:ascii="宋体" w:hAnsi="宋体" w:cs="宋体"/>
                <w:sz w:val="24"/>
              </w:rPr>
              <w:t>3.</w:t>
            </w:r>
          </w:p>
        </w:tc>
      </w:tr>
      <w:tr w14:paraId="48DF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top w:val="single" w:color="auto" w:sz="4" w:space="0"/>
              <w:left w:val="double" w:color="auto" w:sz="4" w:space="0"/>
              <w:bottom w:val="single" w:color="auto" w:sz="4" w:space="0"/>
              <w:right w:val="single" w:color="auto" w:sz="4" w:space="0"/>
            </w:tcBorders>
            <w:noWrap/>
            <w:vAlign w:val="center"/>
          </w:tcPr>
          <w:p w14:paraId="03A07E4F">
            <w:pPr>
              <w:tabs>
                <w:tab w:val="left" w:pos="4320"/>
              </w:tabs>
              <w:ind w:left="266" w:hanging="266" w:hangingChars="111"/>
              <w:rPr>
                <w:rFonts w:hint="eastAsia" w:ascii="宋体" w:hAnsi="宋体" w:cs="宋体"/>
                <w:sz w:val="24"/>
              </w:rPr>
            </w:pPr>
            <w:r>
              <w:rPr>
                <w:rFonts w:hint="eastAsia" w:ascii="宋体" w:hAnsi="宋体" w:cs="宋体"/>
                <w:sz w:val="24"/>
              </w:rPr>
              <w:t>本次</w:t>
            </w:r>
          </w:p>
          <w:p w14:paraId="3F1A4769">
            <w:pPr>
              <w:tabs>
                <w:tab w:val="left" w:pos="4320"/>
              </w:tabs>
              <w:ind w:left="266" w:hanging="266" w:hangingChars="111"/>
              <w:rPr>
                <w:rFonts w:hint="eastAsia" w:ascii="宋体" w:hAnsi="宋体" w:cs="宋体"/>
                <w:sz w:val="24"/>
              </w:rPr>
            </w:pPr>
            <w:r>
              <w:rPr>
                <w:rFonts w:hint="eastAsia" w:ascii="宋体" w:hAnsi="宋体" w:cs="宋体"/>
                <w:sz w:val="24"/>
              </w:rPr>
              <w:t>投标</w:t>
            </w:r>
          </w:p>
          <w:p w14:paraId="6E324F26">
            <w:pPr>
              <w:tabs>
                <w:tab w:val="left" w:pos="4320"/>
              </w:tabs>
              <w:ind w:left="266" w:hanging="266" w:hangingChars="111"/>
              <w:rPr>
                <w:rFonts w:hint="eastAsia" w:ascii="宋体" w:hAnsi="宋体" w:cs="宋体"/>
                <w:sz w:val="24"/>
              </w:rPr>
            </w:pPr>
            <w:r>
              <w:rPr>
                <w:rFonts w:hint="eastAsia" w:ascii="宋体" w:hAnsi="宋体" w:cs="宋体"/>
                <w:sz w:val="24"/>
              </w:rPr>
              <w:t>产品</w:t>
            </w:r>
          </w:p>
          <w:p w14:paraId="1B135400">
            <w:pPr>
              <w:tabs>
                <w:tab w:val="left" w:pos="4320"/>
              </w:tabs>
              <w:ind w:left="266" w:hanging="266" w:hangingChars="111"/>
              <w:rPr>
                <w:rFonts w:hint="eastAsia" w:ascii="宋体" w:hAnsi="宋体" w:cs="宋体"/>
                <w:sz w:val="24"/>
              </w:rPr>
            </w:pPr>
            <w:r>
              <w:rPr>
                <w:rFonts w:hint="eastAsia" w:ascii="宋体" w:hAnsi="宋体" w:cs="宋体"/>
                <w:sz w:val="24"/>
              </w:rPr>
              <w:t>情况</w:t>
            </w:r>
          </w:p>
        </w:tc>
        <w:tc>
          <w:tcPr>
            <w:tcW w:w="1643" w:type="dxa"/>
            <w:gridSpan w:val="3"/>
            <w:tcBorders>
              <w:top w:val="single" w:color="auto" w:sz="4" w:space="0"/>
              <w:left w:val="single" w:color="auto" w:sz="4" w:space="0"/>
              <w:bottom w:val="single" w:color="auto" w:sz="4" w:space="0"/>
              <w:right w:val="single" w:color="auto" w:sz="4" w:space="0"/>
            </w:tcBorders>
            <w:noWrap/>
            <w:vAlign w:val="center"/>
          </w:tcPr>
          <w:p w14:paraId="4F8A4CC1">
            <w:pPr>
              <w:tabs>
                <w:tab w:val="left" w:pos="4320"/>
              </w:tabs>
              <w:spacing w:before="60" w:after="60"/>
              <w:jc w:val="center"/>
              <w:rPr>
                <w:rFonts w:hint="eastAsia" w:ascii="宋体" w:hAnsi="宋体" w:cs="宋体"/>
                <w:sz w:val="24"/>
              </w:rPr>
            </w:pPr>
            <w:r>
              <w:rPr>
                <w:rFonts w:hint="eastAsia" w:ascii="宋体" w:hAnsi="宋体" w:cs="宋体"/>
                <w:sz w:val="24"/>
              </w:rPr>
              <w:t>本次投标</w:t>
            </w:r>
          </w:p>
          <w:p w14:paraId="07AF7044">
            <w:pPr>
              <w:tabs>
                <w:tab w:val="left" w:pos="4320"/>
              </w:tabs>
              <w:spacing w:before="60" w:after="60"/>
              <w:jc w:val="center"/>
              <w:rPr>
                <w:rFonts w:hint="eastAsia" w:ascii="宋体" w:hAnsi="宋体" w:cs="宋体"/>
                <w:sz w:val="24"/>
              </w:rPr>
            </w:pPr>
            <w:r>
              <w:rPr>
                <w:rFonts w:hint="eastAsia" w:ascii="宋体" w:hAnsi="宋体" w:cs="宋体"/>
                <w:sz w:val="24"/>
              </w:rPr>
              <w:t>产品名称</w:t>
            </w:r>
          </w:p>
        </w:tc>
        <w:tc>
          <w:tcPr>
            <w:tcW w:w="1617" w:type="dxa"/>
            <w:gridSpan w:val="2"/>
            <w:tcBorders>
              <w:top w:val="single" w:color="auto" w:sz="4" w:space="0"/>
              <w:left w:val="single" w:color="auto" w:sz="4" w:space="0"/>
              <w:bottom w:val="single" w:color="auto" w:sz="4" w:space="0"/>
              <w:right w:val="single" w:color="auto" w:sz="4" w:space="0"/>
            </w:tcBorders>
            <w:noWrap/>
            <w:vAlign w:val="center"/>
          </w:tcPr>
          <w:p w14:paraId="7072A69C">
            <w:pPr>
              <w:tabs>
                <w:tab w:val="left" w:pos="4320"/>
              </w:tabs>
              <w:spacing w:before="60" w:after="60"/>
              <w:jc w:val="center"/>
              <w:rPr>
                <w:rFonts w:hint="eastAsia" w:ascii="宋体" w:hAnsi="宋体" w:cs="宋体"/>
                <w:sz w:val="24"/>
              </w:rPr>
            </w:pPr>
            <w:r>
              <w:rPr>
                <w:rFonts w:hint="eastAsia" w:ascii="宋体" w:hAnsi="宋体" w:cs="宋体"/>
                <w:sz w:val="24"/>
              </w:rPr>
              <w:t>规    格</w:t>
            </w:r>
          </w:p>
        </w:tc>
        <w:tc>
          <w:tcPr>
            <w:tcW w:w="946" w:type="dxa"/>
            <w:tcBorders>
              <w:top w:val="single" w:color="auto" w:sz="4" w:space="0"/>
              <w:left w:val="single" w:color="auto" w:sz="4" w:space="0"/>
              <w:bottom w:val="single" w:color="auto" w:sz="4" w:space="0"/>
              <w:right w:val="single" w:color="auto" w:sz="4" w:space="0"/>
            </w:tcBorders>
            <w:noWrap/>
            <w:vAlign w:val="center"/>
          </w:tcPr>
          <w:p w14:paraId="796E9A91">
            <w:pPr>
              <w:tabs>
                <w:tab w:val="left" w:pos="4320"/>
              </w:tabs>
              <w:spacing w:before="60" w:after="60"/>
              <w:jc w:val="center"/>
              <w:rPr>
                <w:rFonts w:hint="eastAsia" w:ascii="宋体" w:hAnsi="宋体" w:cs="宋体"/>
                <w:sz w:val="24"/>
              </w:rPr>
            </w:pPr>
            <w:r>
              <w:rPr>
                <w:rFonts w:hint="eastAsia" w:ascii="宋体" w:hAnsi="宋体" w:cs="宋体"/>
                <w:sz w:val="24"/>
              </w:rPr>
              <w:t>上年</w:t>
            </w:r>
          </w:p>
          <w:p w14:paraId="232C9C19">
            <w:pPr>
              <w:tabs>
                <w:tab w:val="left" w:pos="4320"/>
              </w:tabs>
              <w:spacing w:before="60" w:after="60"/>
              <w:jc w:val="center"/>
              <w:rPr>
                <w:rFonts w:hint="eastAsia" w:ascii="宋体" w:hAnsi="宋体" w:cs="宋体"/>
                <w:sz w:val="24"/>
              </w:rPr>
            </w:pPr>
            <w:r>
              <w:rPr>
                <w:rFonts w:hint="eastAsia" w:ascii="宋体" w:hAnsi="宋体" w:cs="宋体"/>
                <w:sz w:val="24"/>
              </w:rPr>
              <w:t>产销量</w:t>
            </w:r>
          </w:p>
        </w:tc>
        <w:tc>
          <w:tcPr>
            <w:tcW w:w="1263" w:type="dxa"/>
            <w:tcBorders>
              <w:top w:val="single" w:color="auto" w:sz="4" w:space="0"/>
              <w:left w:val="single" w:color="auto" w:sz="4" w:space="0"/>
              <w:bottom w:val="single" w:color="auto" w:sz="4" w:space="0"/>
              <w:right w:val="single" w:color="auto" w:sz="4" w:space="0"/>
            </w:tcBorders>
            <w:noWrap/>
            <w:vAlign w:val="center"/>
          </w:tcPr>
          <w:p w14:paraId="016D2275">
            <w:pPr>
              <w:tabs>
                <w:tab w:val="left" w:pos="4320"/>
              </w:tabs>
              <w:spacing w:before="60" w:after="60"/>
              <w:jc w:val="center"/>
              <w:rPr>
                <w:rFonts w:hint="eastAsia" w:ascii="宋体" w:hAnsi="宋体" w:cs="宋体"/>
                <w:sz w:val="24"/>
              </w:rPr>
            </w:pPr>
            <w:r>
              <w:rPr>
                <w:rFonts w:hint="eastAsia" w:ascii="宋体" w:hAnsi="宋体" w:cs="宋体"/>
                <w:sz w:val="24"/>
              </w:rPr>
              <w:t>产品技术</w:t>
            </w:r>
          </w:p>
          <w:p w14:paraId="52CF9EE5">
            <w:pPr>
              <w:tabs>
                <w:tab w:val="left" w:pos="4320"/>
              </w:tabs>
              <w:spacing w:before="60" w:after="60"/>
              <w:jc w:val="center"/>
              <w:rPr>
                <w:rFonts w:hint="eastAsia" w:ascii="宋体" w:hAnsi="宋体" w:cs="宋体"/>
                <w:sz w:val="24"/>
              </w:rPr>
            </w:pPr>
            <w:r>
              <w:rPr>
                <w:rFonts w:hint="eastAsia" w:ascii="宋体" w:hAnsi="宋体" w:cs="宋体"/>
                <w:sz w:val="24"/>
              </w:rPr>
              <w:t>先进水平</w:t>
            </w:r>
          </w:p>
        </w:tc>
        <w:tc>
          <w:tcPr>
            <w:tcW w:w="1273" w:type="dxa"/>
            <w:gridSpan w:val="2"/>
            <w:tcBorders>
              <w:top w:val="single" w:color="auto" w:sz="4" w:space="0"/>
              <w:left w:val="single" w:color="auto" w:sz="4" w:space="0"/>
              <w:bottom w:val="single" w:color="auto" w:sz="4" w:space="0"/>
              <w:right w:val="single" w:color="auto" w:sz="4" w:space="0"/>
            </w:tcBorders>
            <w:noWrap/>
            <w:vAlign w:val="center"/>
          </w:tcPr>
          <w:p w14:paraId="020FA079">
            <w:pPr>
              <w:tabs>
                <w:tab w:val="left" w:pos="4320"/>
              </w:tabs>
              <w:spacing w:before="60" w:after="60"/>
              <w:jc w:val="center"/>
              <w:rPr>
                <w:rFonts w:hint="eastAsia" w:ascii="宋体" w:hAnsi="宋体" w:cs="宋体"/>
                <w:sz w:val="24"/>
              </w:rPr>
            </w:pPr>
            <w:r>
              <w:rPr>
                <w:rFonts w:hint="eastAsia" w:ascii="宋体" w:hAnsi="宋体" w:cs="宋体"/>
                <w:sz w:val="24"/>
              </w:rPr>
              <w:t>曾获何级</w:t>
            </w:r>
          </w:p>
          <w:p w14:paraId="2C8BE267">
            <w:pPr>
              <w:tabs>
                <w:tab w:val="left" w:pos="4320"/>
              </w:tabs>
              <w:spacing w:before="60" w:after="60"/>
              <w:jc w:val="center"/>
              <w:rPr>
                <w:rFonts w:hint="eastAsia" w:ascii="宋体" w:hAnsi="宋体" w:cs="宋体"/>
                <w:sz w:val="24"/>
              </w:rPr>
            </w:pPr>
            <w:r>
              <w:rPr>
                <w:rFonts w:hint="eastAsia" w:ascii="宋体" w:hAnsi="宋体" w:cs="宋体"/>
                <w:sz w:val="24"/>
              </w:rPr>
              <w:t>何种奖励</w:t>
            </w:r>
          </w:p>
        </w:tc>
        <w:tc>
          <w:tcPr>
            <w:tcW w:w="1606" w:type="dxa"/>
            <w:gridSpan w:val="2"/>
            <w:tcBorders>
              <w:top w:val="single" w:color="auto" w:sz="4" w:space="0"/>
              <w:left w:val="single" w:color="auto" w:sz="4" w:space="0"/>
              <w:bottom w:val="single" w:color="auto" w:sz="4" w:space="0"/>
              <w:right w:val="double" w:color="auto" w:sz="4" w:space="0"/>
            </w:tcBorders>
            <w:noWrap/>
            <w:vAlign w:val="center"/>
          </w:tcPr>
          <w:p w14:paraId="0D7955DA">
            <w:pPr>
              <w:tabs>
                <w:tab w:val="left" w:pos="4320"/>
              </w:tabs>
              <w:spacing w:before="60" w:after="60"/>
              <w:jc w:val="center"/>
              <w:rPr>
                <w:rFonts w:hint="eastAsia" w:ascii="宋体" w:hAnsi="宋体" w:cs="宋体"/>
                <w:sz w:val="24"/>
              </w:rPr>
            </w:pPr>
            <w:r>
              <w:rPr>
                <w:rFonts w:hint="eastAsia" w:ascii="宋体" w:hAnsi="宋体" w:cs="宋体"/>
                <w:sz w:val="24"/>
              </w:rPr>
              <w:t>主要用户</w:t>
            </w:r>
          </w:p>
          <w:p w14:paraId="02DF3ACE">
            <w:pPr>
              <w:tabs>
                <w:tab w:val="left" w:pos="4320"/>
              </w:tabs>
              <w:spacing w:before="60" w:after="60"/>
              <w:jc w:val="center"/>
              <w:rPr>
                <w:rFonts w:hint="eastAsia" w:ascii="宋体" w:hAnsi="宋体" w:cs="宋体"/>
                <w:sz w:val="24"/>
              </w:rPr>
            </w:pPr>
            <w:r>
              <w:rPr>
                <w:rFonts w:hint="eastAsia" w:ascii="宋体" w:hAnsi="宋体" w:cs="宋体"/>
                <w:sz w:val="24"/>
              </w:rPr>
              <w:t>名称</w:t>
            </w:r>
          </w:p>
        </w:tc>
      </w:tr>
      <w:tr w14:paraId="6626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top w:val="single" w:color="auto" w:sz="4" w:space="0"/>
              <w:left w:val="double" w:color="auto" w:sz="4" w:space="0"/>
              <w:bottom w:val="single" w:color="auto" w:sz="4" w:space="0"/>
              <w:right w:val="single" w:color="auto" w:sz="4" w:space="0"/>
            </w:tcBorders>
            <w:noWrap/>
            <w:vAlign w:val="center"/>
          </w:tcPr>
          <w:p w14:paraId="4692A408">
            <w:pPr>
              <w:widowControl/>
              <w:jc w:val="left"/>
              <w:rPr>
                <w:rFonts w:hint="eastAsia" w:ascii="宋体" w:hAnsi="宋体" w:cs="宋体"/>
                <w:sz w:val="24"/>
              </w:rPr>
            </w:pPr>
          </w:p>
        </w:tc>
        <w:tc>
          <w:tcPr>
            <w:tcW w:w="1643" w:type="dxa"/>
            <w:gridSpan w:val="3"/>
            <w:tcBorders>
              <w:top w:val="single" w:color="auto" w:sz="4" w:space="0"/>
              <w:left w:val="single" w:color="auto" w:sz="4" w:space="0"/>
              <w:bottom w:val="single" w:color="auto" w:sz="4" w:space="0"/>
              <w:right w:val="single" w:color="auto" w:sz="4" w:space="0"/>
            </w:tcBorders>
            <w:noWrap/>
            <w:vAlign w:val="center"/>
          </w:tcPr>
          <w:p w14:paraId="02AB93C9">
            <w:pPr>
              <w:tabs>
                <w:tab w:val="left" w:pos="4320"/>
              </w:tabs>
              <w:rPr>
                <w:rFonts w:hint="eastAsia" w:ascii="宋体" w:hAnsi="宋体" w:cs="宋体"/>
                <w:sz w:val="24"/>
              </w:rPr>
            </w:pPr>
          </w:p>
        </w:tc>
        <w:tc>
          <w:tcPr>
            <w:tcW w:w="1617" w:type="dxa"/>
            <w:gridSpan w:val="2"/>
            <w:tcBorders>
              <w:top w:val="single" w:color="auto" w:sz="4" w:space="0"/>
              <w:left w:val="single" w:color="auto" w:sz="4" w:space="0"/>
              <w:bottom w:val="single" w:color="auto" w:sz="4" w:space="0"/>
              <w:right w:val="single" w:color="auto" w:sz="4" w:space="0"/>
            </w:tcBorders>
            <w:noWrap/>
            <w:vAlign w:val="center"/>
          </w:tcPr>
          <w:p w14:paraId="0B51476F">
            <w:pPr>
              <w:tabs>
                <w:tab w:val="left" w:pos="4320"/>
              </w:tabs>
              <w:rPr>
                <w:rFonts w:hint="eastAsia" w:ascii="宋体" w:hAnsi="宋体" w:cs="宋体"/>
                <w:sz w:val="24"/>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482E36C2">
            <w:pPr>
              <w:tabs>
                <w:tab w:val="left" w:pos="4320"/>
              </w:tabs>
              <w:rPr>
                <w:rFonts w:hint="eastAsia" w:ascii="宋体" w:hAnsi="宋体" w:cs="宋体"/>
                <w:sz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14:paraId="2FF77B3F">
            <w:pPr>
              <w:tabs>
                <w:tab w:val="left" w:pos="4320"/>
              </w:tabs>
              <w:rPr>
                <w:rFonts w:hint="eastAsia" w:ascii="宋体" w:hAnsi="宋体" w:cs="宋体"/>
                <w:sz w:val="24"/>
              </w:rPr>
            </w:pPr>
          </w:p>
        </w:tc>
        <w:tc>
          <w:tcPr>
            <w:tcW w:w="1273" w:type="dxa"/>
            <w:gridSpan w:val="2"/>
            <w:tcBorders>
              <w:top w:val="single" w:color="auto" w:sz="4" w:space="0"/>
              <w:left w:val="single" w:color="auto" w:sz="4" w:space="0"/>
              <w:bottom w:val="single" w:color="auto" w:sz="4" w:space="0"/>
              <w:right w:val="single" w:color="auto" w:sz="4" w:space="0"/>
            </w:tcBorders>
            <w:noWrap/>
            <w:vAlign w:val="center"/>
          </w:tcPr>
          <w:p w14:paraId="443FF515">
            <w:pPr>
              <w:tabs>
                <w:tab w:val="left" w:pos="4320"/>
              </w:tabs>
              <w:rPr>
                <w:rFonts w:hint="eastAsia" w:ascii="宋体" w:hAnsi="宋体" w:cs="宋体"/>
                <w:sz w:val="24"/>
              </w:rPr>
            </w:pPr>
          </w:p>
        </w:tc>
        <w:tc>
          <w:tcPr>
            <w:tcW w:w="1606" w:type="dxa"/>
            <w:gridSpan w:val="2"/>
            <w:tcBorders>
              <w:top w:val="single" w:color="auto" w:sz="4" w:space="0"/>
              <w:left w:val="single" w:color="auto" w:sz="4" w:space="0"/>
              <w:bottom w:val="single" w:color="auto" w:sz="4" w:space="0"/>
              <w:right w:val="double" w:color="auto" w:sz="4" w:space="0"/>
            </w:tcBorders>
            <w:noWrap/>
            <w:vAlign w:val="center"/>
          </w:tcPr>
          <w:p w14:paraId="64A9EE42">
            <w:pPr>
              <w:tabs>
                <w:tab w:val="left" w:pos="4320"/>
              </w:tabs>
              <w:rPr>
                <w:rFonts w:hint="eastAsia" w:ascii="宋体" w:hAnsi="宋体" w:cs="宋体"/>
                <w:sz w:val="24"/>
              </w:rPr>
            </w:pPr>
          </w:p>
        </w:tc>
      </w:tr>
      <w:tr w14:paraId="447F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top w:val="single" w:color="auto" w:sz="4" w:space="0"/>
              <w:left w:val="double" w:color="auto" w:sz="4" w:space="0"/>
              <w:bottom w:val="single" w:color="auto" w:sz="4" w:space="0"/>
              <w:right w:val="single" w:color="auto" w:sz="4" w:space="0"/>
            </w:tcBorders>
            <w:noWrap/>
            <w:vAlign w:val="center"/>
          </w:tcPr>
          <w:p w14:paraId="6658FFA9">
            <w:pPr>
              <w:widowControl/>
              <w:jc w:val="left"/>
              <w:rPr>
                <w:rFonts w:hint="eastAsia" w:ascii="宋体" w:hAnsi="宋体" w:cs="宋体"/>
                <w:sz w:val="24"/>
              </w:rPr>
            </w:pPr>
          </w:p>
        </w:tc>
        <w:tc>
          <w:tcPr>
            <w:tcW w:w="1643" w:type="dxa"/>
            <w:gridSpan w:val="3"/>
            <w:tcBorders>
              <w:top w:val="single" w:color="auto" w:sz="4" w:space="0"/>
              <w:left w:val="single" w:color="auto" w:sz="4" w:space="0"/>
              <w:bottom w:val="single" w:color="auto" w:sz="4" w:space="0"/>
              <w:right w:val="single" w:color="auto" w:sz="4" w:space="0"/>
            </w:tcBorders>
            <w:noWrap/>
            <w:vAlign w:val="center"/>
          </w:tcPr>
          <w:p w14:paraId="7F54DCAB">
            <w:pPr>
              <w:tabs>
                <w:tab w:val="left" w:pos="4320"/>
              </w:tabs>
              <w:rPr>
                <w:rFonts w:hint="eastAsia" w:ascii="宋体" w:hAnsi="宋体" w:cs="宋体"/>
                <w:sz w:val="24"/>
              </w:rPr>
            </w:pPr>
          </w:p>
        </w:tc>
        <w:tc>
          <w:tcPr>
            <w:tcW w:w="1617" w:type="dxa"/>
            <w:gridSpan w:val="2"/>
            <w:tcBorders>
              <w:top w:val="single" w:color="auto" w:sz="4" w:space="0"/>
              <w:left w:val="single" w:color="auto" w:sz="4" w:space="0"/>
              <w:bottom w:val="single" w:color="auto" w:sz="4" w:space="0"/>
              <w:right w:val="single" w:color="auto" w:sz="4" w:space="0"/>
            </w:tcBorders>
            <w:noWrap/>
            <w:vAlign w:val="center"/>
          </w:tcPr>
          <w:p w14:paraId="75A289FF">
            <w:pPr>
              <w:tabs>
                <w:tab w:val="left" w:pos="4320"/>
              </w:tabs>
              <w:rPr>
                <w:rFonts w:hint="eastAsia" w:ascii="宋体" w:hAnsi="宋体" w:cs="宋体"/>
                <w:sz w:val="24"/>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779501D5">
            <w:pPr>
              <w:tabs>
                <w:tab w:val="left" w:pos="4320"/>
              </w:tabs>
              <w:rPr>
                <w:rFonts w:hint="eastAsia" w:ascii="宋体" w:hAnsi="宋体" w:cs="宋体"/>
                <w:sz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14:paraId="2A742E82">
            <w:pPr>
              <w:tabs>
                <w:tab w:val="left" w:pos="4320"/>
              </w:tabs>
              <w:rPr>
                <w:rFonts w:hint="eastAsia" w:ascii="宋体" w:hAnsi="宋体" w:cs="宋体"/>
                <w:sz w:val="24"/>
              </w:rPr>
            </w:pPr>
          </w:p>
        </w:tc>
        <w:tc>
          <w:tcPr>
            <w:tcW w:w="1273" w:type="dxa"/>
            <w:gridSpan w:val="2"/>
            <w:tcBorders>
              <w:top w:val="single" w:color="auto" w:sz="4" w:space="0"/>
              <w:left w:val="single" w:color="auto" w:sz="4" w:space="0"/>
              <w:bottom w:val="single" w:color="auto" w:sz="4" w:space="0"/>
              <w:right w:val="single" w:color="auto" w:sz="4" w:space="0"/>
            </w:tcBorders>
            <w:noWrap/>
            <w:vAlign w:val="center"/>
          </w:tcPr>
          <w:p w14:paraId="4628FAE2">
            <w:pPr>
              <w:tabs>
                <w:tab w:val="left" w:pos="4320"/>
              </w:tabs>
              <w:rPr>
                <w:rFonts w:hint="eastAsia" w:ascii="宋体" w:hAnsi="宋体" w:cs="宋体"/>
                <w:sz w:val="24"/>
              </w:rPr>
            </w:pPr>
          </w:p>
        </w:tc>
        <w:tc>
          <w:tcPr>
            <w:tcW w:w="1606" w:type="dxa"/>
            <w:gridSpan w:val="2"/>
            <w:tcBorders>
              <w:top w:val="single" w:color="auto" w:sz="4" w:space="0"/>
              <w:left w:val="single" w:color="auto" w:sz="4" w:space="0"/>
              <w:bottom w:val="single" w:color="auto" w:sz="4" w:space="0"/>
              <w:right w:val="double" w:color="auto" w:sz="4" w:space="0"/>
            </w:tcBorders>
            <w:noWrap/>
            <w:vAlign w:val="center"/>
          </w:tcPr>
          <w:p w14:paraId="2D2D78C9">
            <w:pPr>
              <w:tabs>
                <w:tab w:val="left" w:pos="4320"/>
              </w:tabs>
              <w:rPr>
                <w:rFonts w:hint="eastAsia" w:ascii="宋体" w:hAnsi="宋体" w:cs="宋体"/>
                <w:sz w:val="24"/>
              </w:rPr>
            </w:pPr>
          </w:p>
        </w:tc>
      </w:tr>
      <w:tr w14:paraId="3EBE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top w:val="single" w:color="auto" w:sz="4" w:space="0"/>
              <w:left w:val="double" w:color="auto" w:sz="4" w:space="0"/>
              <w:bottom w:val="single" w:color="auto" w:sz="4" w:space="0"/>
              <w:right w:val="single" w:color="auto" w:sz="4" w:space="0"/>
            </w:tcBorders>
            <w:noWrap/>
            <w:vAlign w:val="center"/>
          </w:tcPr>
          <w:p w14:paraId="683F0F22">
            <w:pPr>
              <w:widowControl/>
              <w:jc w:val="left"/>
              <w:rPr>
                <w:rFonts w:hint="eastAsia" w:ascii="宋体" w:hAnsi="宋体" w:cs="宋体"/>
                <w:sz w:val="24"/>
              </w:rPr>
            </w:pPr>
          </w:p>
        </w:tc>
        <w:tc>
          <w:tcPr>
            <w:tcW w:w="1643" w:type="dxa"/>
            <w:gridSpan w:val="3"/>
            <w:tcBorders>
              <w:top w:val="single" w:color="auto" w:sz="4" w:space="0"/>
              <w:left w:val="single" w:color="auto" w:sz="4" w:space="0"/>
              <w:bottom w:val="single" w:color="auto" w:sz="4" w:space="0"/>
              <w:right w:val="single" w:color="auto" w:sz="4" w:space="0"/>
            </w:tcBorders>
            <w:noWrap/>
            <w:vAlign w:val="center"/>
          </w:tcPr>
          <w:p w14:paraId="563476DF">
            <w:pPr>
              <w:tabs>
                <w:tab w:val="left" w:pos="4320"/>
              </w:tabs>
              <w:rPr>
                <w:rFonts w:hint="eastAsia" w:ascii="宋体" w:hAnsi="宋体" w:cs="宋体"/>
                <w:sz w:val="24"/>
              </w:rPr>
            </w:pPr>
          </w:p>
        </w:tc>
        <w:tc>
          <w:tcPr>
            <w:tcW w:w="1617" w:type="dxa"/>
            <w:gridSpan w:val="2"/>
            <w:tcBorders>
              <w:top w:val="single" w:color="auto" w:sz="4" w:space="0"/>
              <w:left w:val="single" w:color="auto" w:sz="4" w:space="0"/>
              <w:bottom w:val="single" w:color="auto" w:sz="4" w:space="0"/>
              <w:right w:val="single" w:color="auto" w:sz="4" w:space="0"/>
            </w:tcBorders>
            <w:noWrap/>
            <w:vAlign w:val="center"/>
          </w:tcPr>
          <w:p w14:paraId="35C13BF4">
            <w:pPr>
              <w:tabs>
                <w:tab w:val="left" w:pos="4320"/>
              </w:tabs>
              <w:rPr>
                <w:rFonts w:hint="eastAsia" w:ascii="宋体" w:hAnsi="宋体" w:cs="宋体"/>
                <w:sz w:val="24"/>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5125CB8B">
            <w:pPr>
              <w:tabs>
                <w:tab w:val="left" w:pos="4320"/>
              </w:tabs>
              <w:rPr>
                <w:rFonts w:hint="eastAsia" w:ascii="宋体" w:hAnsi="宋体" w:cs="宋体"/>
                <w:sz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14:paraId="31FE6D69">
            <w:pPr>
              <w:tabs>
                <w:tab w:val="left" w:pos="4320"/>
              </w:tabs>
              <w:rPr>
                <w:rFonts w:hint="eastAsia" w:ascii="宋体" w:hAnsi="宋体" w:cs="宋体"/>
                <w:sz w:val="24"/>
              </w:rPr>
            </w:pPr>
          </w:p>
        </w:tc>
        <w:tc>
          <w:tcPr>
            <w:tcW w:w="1273" w:type="dxa"/>
            <w:gridSpan w:val="2"/>
            <w:tcBorders>
              <w:top w:val="single" w:color="auto" w:sz="4" w:space="0"/>
              <w:left w:val="single" w:color="auto" w:sz="4" w:space="0"/>
              <w:bottom w:val="single" w:color="auto" w:sz="4" w:space="0"/>
              <w:right w:val="single" w:color="auto" w:sz="4" w:space="0"/>
            </w:tcBorders>
            <w:noWrap/>
            <w:vAlign w:val="center"/>
          </w:tcPr>
          <w:p w14:paraId="08B82DCA">
            <w:pPr>
              <w:tabs>
                <w:tab w:val="left" w:pos="4320"/>
              </w:tabs>
              <w:rPr>
                <w:rFonts w:hint="eastAsia" w:ascii="宋体" w:hAnsi="宋体" w:cs="宋体"/>
                <w:sz w:val="24"/>
              </w:rPr>
            </w:pPr>
          </w:p>
        </w:tc>
        <w:tc>
          <w:tcPr>
            <w:tcW w:w="1606" w:type="dxa"/>
            <w:gridSpan w:val="2"/>
            <w:tcBorders>
              <w:top w:val="single" w:color="auto" w:sz="4" w:space="0"/>
              <w:left w:val="single" w:color="auto" w:sz="4" w:space="0"/>
              <w:bottom w:val="single" w:color="auto" w:sz="4" w:space="0"/>
              <w:right w:val="double" w:color="auto" w:sz="4" w:space="0"/>
            </w:tcBorders>
            <w:noWrap/>
            <w:vAlign w:val="center"/>
          </w:tcPr>
          <w:p w14:paraId="1CC14D4A">
            <w:pPr>
              <w:tabs>
                <w:tab w:val="left" w:pos="4320"/>
              </w:tabs>
              <w:rPr>
                <w:rFonts w:hint="eastAsia" w:ascii="宋体" w:hAnsi="宋体" w:cs="宋体"/>
                <w:sz w:val="24"/>
              </w:rPr>
            </w:pPr>
          </w:p>
        </w:tc>
      </w:tr>
      <w:tr w14:paraId="6873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top w:val="single" w:color="auto" w:sz="4" w:space="0"/>
              <w:left w:val="double" w:color="auto" w:sz="4" w:space="0"/>
              <w:bottom w:val="single" w:color="auto" w:sz="4" w:space="0"/>
              <w:right w:val="single" w:color="auto" w:sz="4" w:space="0"/>
            </w:tcBorders>
            <w:noWrap/>
            <w:vAlign w:val="center"/>
          </w:tcPr>
          <w:p w14:paraId="3B6A0347">
            <w:pPr>
              <w:widowControl/>
              <w:jc w:val="left"/>
              <w:rPr>
                <w:rFonts w:hint="eastAsia" w:ascii="宋体" w:hAnsi="宋体" w:cs="宋体"/>
                <w:sz w:val="24"/>
              </w:rPr>
            </w:pPr>
          </w:p>
        </w:tc>
        <w:tc>
          <w:tcPr>
            <w:tcW w:w="1643" w:type="dxa"/>
            <w:gridSpan w:val="3"/>
            <w:tcBorders>
              <w:top w:val="single" w:color="auto" w:sz="4" w:space="0"/>
              <w:left w:val="single" w:color="auto" w:sz="4" w:space="0"/>
              <w:bottom w:val="single" w:color="auto" w:sz="4" w:space="0"/>
              <w:right w:val="single" w:color="auto" w:sz="4" w:space="0"/>
            </w:tcBorders>
            <w:noWrap/>
            <w:vAlign w:val="center"/>
          </w:tcPr>
          <w:p w14:paraId="6D0C9887">
            <w:pPr>
              <w:tabs>
                <w:tab w:val="left" w:pos="4320"/>
              </w:tabs>
              <w:rPr>
                <w:rFonts w:hint="eastAsia" w:ascii="宋体" w:hAnsi="宋体" w:cs="宋体"/>
                <w:sz w:val="24"/>
              </w:rPr>
            </w:pPr>
          </w:p>
        </w:tc>
        <w:tc>
          <w:tcPr>
            <w:tcW w:w="1617" w:type="dxa"/>
            <w:gridSpan w:val="2"/>
            <w:tcBorders>
              <w:top w:val="single" w:color="auto" w:sz="4" w:space="0"/>
              <w:left w:val="single" w:color="auto" w:sz="4" w:space="0"/>
              <w:bottom w:val="single" w:color="auto" w:sz="4" w:space="0"/>
              <w:right w:val="single" w:color="auto" w:sz="4" w:space="0"/>
            </w:tcBorders>
            <w:noWrap/>
            <w:vAlign w:val="center"/>
          </w:tcPr>
          <w:p w14:paraId="174455CD">
            <w:pPr>
              <w:tabs>
                <w:tab w:val="left" w:pos="4320"/>
              </w:tabs>
              <w:rPr>
                <w:rFonts w:hint="eastAsia" w:ascii="宋体" w:hAnsi="宋体" w:cs="宋体"/>
                <w:sz w:val="24"/>
              </w:rPr>
            </w:pPr>
          </w:p>
        </w:tc>
        <w:tc>
          <w:tcPr>
            <w:tcW w:w="946" w:type="dxa"/>
            <w:tcBorders>
              <w:top w:val="single" w:color="auto" w:sz="4" w:space="0"/>
              <w:left w:val="single" w:color="auto" w:sz="4" w:space="0"/>
              <w:bottom w:val="single" w:color="auto" w:sz="4" w:space="0"/>
              <w:right w:val="single" w:color="auto" w:sz="4" w:space="0"/>
            </w:tcBorders>
            <w:noWrap/>
            <w:vAlign w:val="center"/>
          </w:tcPr>
          <w:p w14:paraId="339C5C89">
            <w:pPr>
              <w:tabs>
                <w:tab w:val="left" w:pos="4320"/>
              </w:tabs>
              <w:rPr>
                <w:rFonts w:hint="eastAsia" w:ascii="宋体" w:hAnsi="宋体" w:cs="宋体"/>
                <w:sz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14:paraId="1096BD0D">
            <w:pPr>
              <w:tabs>
                <w:tab w:val="left" w:pos="4320"/>
              </w:tabs>
              <w:rPr>
                <w:rFonts w:hint="eastAsia" w:ascii="宋体" w:hAnsi="宋体" w:cs="宋体"/>
                <w:sz w:val="24"/>
              </w:rPr>
            </w:pPr>
          </w:p>
        </w:tc>
        <w:tc>
          <w:tcPr>
            <w:tcW w:w="1273" w:type="dxa"/>
            <w:gridSpan w:val="2"/>
            <w:tcBorders>
              <w:top w:val="single" w:color="auto" w:sz="4" w:space="0"/>
              <w:left w:val="single" w:color="auto" w:sz="4" w:space="0"/>
              <w:bottom w:val="single" w:color="auto" w:sz="4" w:space="0"/>
              <w:right w:val="single" w:color="auto" w:sz="4" w:space="0"/>
            </w:tcBorders>
            <w:noWrap/>
            <w:vAlign w:val="center"/>
          </w:tcPr>
          <w:p w14:paraId="01DF67EE">
            <w:pPr>
              <w:tabs>
                <w:tab w:val="left" w:pos="4320"/>
              </w:tabs>
              <w:rPr>
                <w:rFonts w:hint="eastAsia" w:ascii="宋体" w:hAnsi="宋体" w:cs="宋体"/>
                <w:sz w:val="24"/>
              </w:rPr>
            </w:pPr>
          </w:p>
        </w:tc>
        <w:tc>
          <w:tcPr>
            <w:tcW w:w="1606" w:type="dxa"/>
            <w:gridSpan w:val="2"/>
            <w:tcBorders>
              <w:top w:val="single" w:color="auto" w:sz="4" w:space="0"/>
              <w:left w:val="single" w:color="auto" w:sz="4" w:space="0"/>
              <w:bottom w:val="single" w:color="auto" w:sz="4" w:space="0"/>
              <w:right w:val="double" w:color="auto" w:sz="4" w:space="0"/>
            </w:tcBorders>
            <w:noWrap/>
            <w:vAlign w:val="center"/>
          </w:tcPr>
          <w:p w14:paraId="72A2BE85">
            <w:pPr>
              <w:tabs>
                <w:tab w:val="left" w:pos="4320"/>
              </w:tabs>
              <w:rPr>
                <w:rFonts w:hint="eastAsia" w:ascii="宋体" w:hAnsi="宋体" w:cs="宋体"/>
                <w:sz w:val="24"/>
              </w:rPr>
            </w:pPr>
          </w:p>
        </w:tc>
      </w:tr>
      <w:tr w14:paraId="31BE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top w:val="single" w:color="auto" w:sz="4" w:space="0"/>
              <w:left w:val="double" w:color="auto" w:sz="4" w:space="0"/>
              <w:bottom w:val="double" w:color="auto" w:sz="4" w:space="0"/>
              <w:right w:val="single" w:color="auto" w:sz="4" w:space="0"/>
            </w:tcBorders>
            <w:noWrap/>
            <w:vAlign w:val="center"/>
          </w:tcPr>
          <w:p w14:paraId="40D21983">
            <w:pPr>
              <w:tabs>
                <w:tab w:val="left" w:pos="4320"/>
              </w:tabs>
              <w:rPr>
                <w:rFonts w:hint="eastAsia" w:ascii="宋体" w:hAnsi="宋体" w:cs="宋体"/>
                <w:sz w:val="24"/>
              </w:rPr>
            </w:pPr>
            <w:r>
              <w:rPr>
                <w:rFonts w:hint="eastAsia" w:ascii="宋体" w:hAnsi="宋体" w:cs="宋体"/>
                <w:sz w:val="24"/>
              </w:rPr>
              <w:t>其它</w:t>
            </w:r>
          </w:p>
        </w:tc>
        <w:tc>
          <w:tcPr>
            <w:tcW w:w="4206" w:type="dxa"/>
            <w:gridSpan w:val="6"/>
            <w:tcBorders>
              <w:top w:val="single" w:color="auto" w:sz="4" w:space="0"/>
              <w:left w:val="single" w:color="auto" w:sz="4" w:space="0"/>
              <w:bottom w:val="single" w:color="auto" w:sz="4" w:space="0"/>
              <w:right w:val="single" w:color="auto" w:sz="4" w:space="0"/>
            </w:tcBorders>
            <w:noWrap/>
            <w:vAlign w:val="center"/>
          </w:tcPr>
          <w:p w14:paraId="57299466">
            <w:pPr>
              <w:tabs>
                <w:tab w:val="left" w:pos="4320"/>
              </w:tabs>
              <w:spacing w:before="60" w:after="60"/>
              <w:rPr>
                <w:rFonts w:hint="eastAsia" w:ascii="宋体" w:hAnsi="宋体" w:cs="宋体"/>
                <w:sz w:val="24"/>
              </w:rPr>
            </w:pPr>
            <w:r>
              <w:rPr>
                <w:rFonts w:hint="eastAsia" w:ascii="宋体" w:hAnsi="宋体" w:cs="宋体"/>
                <w:sz w:val="24"/>
              </w:rPr>
              <w:t>近3年完成及正在执行的合同中发生的由于投标人违约或部分违约而引起诉讼和受到索赔的案件具体情况及结果（须如实填写，若对此进行隐瞒，尔后又被采购人或采购代理机构发现，或被它人举证成立，其投标资格将被取消）。</w:t>
            </w:r>
          </w:p>
        </w:tc>
        <w:tc>
          <w:tcPr>
            <w:tcW w:w="4142" w:type="dxa"/>
            <w:gridSpan w:val="5"/>
            <w:tcBorders>
              <w:top w:val="single" w:color="auto" w:sz="4" w:space="0"/>
              <w:left w:val="single" w:color="auto" w:sz="4" w:space="0"/>
              <w:bottom w:val="single" w:color="auto" w:sz="4" w:space="0"/>
              <w:right w:val="double" w:color="auto" w:sz="4" w:space="0"/>
            </w:tcBorders>
            <w:noWrap/>
            <w:vAlign w:val="center"/>
          </w:tcPr>
          <w:p w14:paraId="712EF6C7">
            <w:pPr>
              <w:tabs>
                <w:tab w:val="left" w:pos="4320"/>
              </w:tabs>
              <w:spacing w:before="60" w:after="60"/>
              <w:rPr>
                <w:rFonts w:hint="eastAsia" w:ascii="宋体" w:hAnsi="宋体" w:cs="宋体"/>
                <w:sz w:val="24"/>
              </w:rPr>
            </w:pPr>
            <w:r>
              <w:rPr>
                <w:rFonts w:hint="eastAsia" w:ascii="宋体" w:hAnsi="宋体" w:cs="宋体"/>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2745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trPr>
        <w:tc>
          <w:tcPr>
            <w:tcW w:w="817" w:type="dxa"/>
            <w:vMerge w:val="continue"/>
            <w:tcBorders>
              <w:top w:val="single" w:color="auto" w:sz="4" w:space="0"/>
              <w:left w:val="double" w:color="auto" w:sz="4" w:space="0"/>
              <w:bottom w:val="double" w:color="auto" w:sz="4" w:space="0"/>
              <w:right w:val="single" w:color="auto" w:sz="4" w:space="0"/>
            </w:tcBorders>
            <w:noWrap/>
            <w:vAlign w:val="center"/>
          </w:tcPr>
          <w:p w14:paraId="644998A5">
            <w:pPr>
              <w:widowControl/>
              <w:jc w:val="left"/>
              <w:rPr>
                <w:rFonts w:hint="eastAsia" w:ascii="宋体" w:hAnsi="宋体" w:cs="宋体"/>
                <w:sz w:val="24"/>
              </w:rPr>
            </w:pPr>
          </w:p>
        </w:tc>
        <w:tc>
          <w:tcPr>
            <w:tcW w:w="4206" w:type="dxa"/>
            <w:gridSpan w:val="6"/>
            <w:tcBorders>
              <w:top w:val="single" w:color="auto" w:sz="4" w:space="0"/>
              <w:left w:val="single" w:color="auto" w:sz="4" w:space="0"/>
              <w:bottom w:val="double" w:color="auto" w:sz="4" w:space="0"/>
              <w:right w:val="single" w:color="auto" w:sz="4" w:space="0"/>
            </w:tcBorders>
            <w:noWrap/>
            <w:vAlign w:val="center"/>
          </w:tcPr>
          <w:p w14:paraId="7671D0CC">
            <w:pPr>
              <w:tabs>
                <w:tab w:val="left" w:pos="4320"/>
              </w:tabs>
              <w:rPr>
                <w:rFonts w:hint="eastAsia" w:ascii="宋体" w:hAnsi="宋体" w:cs="宋体"/>
                <w:sz w:val="24"/>
              </w:rPr>
            </w:pPr>
          </w:p>
        </w:tc>
        <w:tc>
          <w:tcPr>
            <w:tcW w:w="4142" w:type="dxa"/>
            <w:gridSpan w:val="5"/>
            <w:tcBorders>
              <w:top w:val="single" w:color="auto" w:sz="4" w:space="0"/>
              <w:left w:val="single" w:color="auto" w:sz="4" w:space="0"/>
              <w:bottom w:val="double" w:color="auto" w:sz="4" w:space="0"/>
              <w:right w:val="double" w:color="auto" w:sz="4" w:space="0"/>
            </w:tcBorders>
            <w:noWrap/>
            <w:vAlign w:val="center"/>
          </w:tcPr>
          <w:p w14:paraId="076420AB">
            <w:pPr>
              <w:tabs>
                <w:tab w:val="left" w:pos="4320"/>
              </w:tabs>
              <w:rPr>
                <w:rFonts w:hint="eastAsia" w:ascii="宋体" w:hAnsi="宋体" w:cs="宋体"/>
                <w:sz w:val="24"/>
              </w:rPr>
            </w:pPr>
          </w:p>
        </w:tc>
      </w:tr>
    </w:tbl>
    <w:p w14:paraId="406E53F6">
      <w:pPr>
        <w:snapToGrid w:val="0"/>
        <w:spacing w:line="400" w:lineRule="exact"/>
        <w:rPr>
          <w:rFonts w:hint="eastAsia" w:ascii="宋体" w:hAnsi="宋体" w:cs="宋体"/>
          <w:kern w:val="0"/>
          <w:sz w:val="32"/>
          <w:szCs w:val="32"/>
        </w:rPr>
      </w:pPr>
    </w:p>
    <w:p w14:paraId="6397EC97">
      <w:pPr>
        <w:snapToGrid w:val="0"/>
        <w:spacing w:line="400" w:lineRule="exact"/>
        <w:rPr>
          <w:rFonts w:hint="eastAsia" w:ascii="宋体" w:hAnsi="宋体" w:cs="宋体"/>
          <w:kern w:val="0"/>
          <w:sz w:val="32"/>
          <w:szCs w:val="32"/>
        </w:rPr>
      </w:pPr>
    </w:p>
    <w:p w14:paraId="565C5018">
      <w:pPr>
        <w:rPr>
          <w:rFonts w:hint="eastAsia" w:ascii="宋体" w:hAnsi="宋体"/>
          <w:b/>
          <w:sz w:val="32"/>
          <w:szCs w:val="32"/>
        </w:rPr>
      </w:pPr>
    </w:p>
    <w:p w14:paraId="2E79907F">
      <w:pPr>
        <w:rPr>
          <w:rFonts w:hint="eastAsia" w:ascii="宋体" w:hAnsi="宋体"/>
          <w:b/>
          <w:sz w:val="32"/>
          <w:szCs w:val="32"/>
        </w:rPr>
      </w:pPr>
    </w:p>
    <w:p w14:paraId="08A92192">
      <w:pPr>
        <w:rPr>
          <w:rFonts w:hint="eastAsia" w:ascii="宋体" w:hAnsi="宋体"/>
          <w:b/>
          <w:sz w:val="32"/>
          <w:szCs w:val="32"/>
        </w:rPr>
      </w:pPr>
    </w:p>
    <w:p w14:paraId="5B7991D0">
      <w:pPr>
        <w:rPr>
          <w:rFonts w:hint="eastAsia" w:ascii="宋体" w:hAnsi="宋体"/>
          <w:b/>
          <w:sz w:val="32"/>
          <w:szCs w:val="32"/>
        </w:rPr>
      </w:pPr>
    </w:p>
    <w:p w14:paraId="61DBC61B">
      <w:pPr>
        <w:rPr>
          <w:rFonts w:hint="eastAsia" w:ascii="宋体" w:hAnsi="宋体"/>
          <w:b/>
          <w:sz w:val="32"/>
          <w:szCs w:val="32"/>
        </w:rPr>
      </w:pPr>
    </w:p>
    <w:p w14:paraId="474BE914">
      <w:pPr>
        <w:rPr>
          <w:rFonts w:hint="eastAsia" w:ascii="宋体" w:hAnsi="宋体"/>
          <w:b/>
          <w:sz w:val="32"/>
          <w:szCs w:val="32"/>
        </w:rPr>
      </w:pPr>
      <w:r>
        <w:rPr>
          <w:rFonts w:hint="eastAsia" w:ascii="宋体" w:hAnsi="宋体"/>
          <w:b/>
          <w:sz w:val="32"/>
          <w:szCs w:val="32"/>
        </w:rPr>
        <w:t>附件4</w:t>
      </w:r>
    </w:p>
    <w:p w14:paraId="463973FD">
      <w:pPr>
        <w:spacing w:line="460" w:lineRule="exact"/>
        <w:jc w:val="center"/>
        <w:rPr>
          <w:rFonts w:hint="eastAsia" w:ascii="宋体" w:hAnsi="宋体" w:cs="宋体"/>
          <w:b/>
          <w:bCs/>
          <w:sz w:val="28"/>
          <w:szCs w:val="28"/>
        </w:rPr>
      </w:pPr>
    </w:p>
    <w:p w14:paraId="252394F1">
      <w:pPr>
        <w:spacing w:line="460" w:lineRule="exact"/>
        <w:jc w:val="center"/>
        <w:rPr>
          <w:rFonts w:ascii="宋体" w:cs="宋体"/>
          <w:b/>
          <w:bCs/>
          <w:sz w:val="28"/>
          <w:szCs w:val="28"/>
        </w:rPr>
      </w:pPr>
      <w:r>
        <w:rPr>
          <w:rFonts w:hint="eastAsia" w:ascii="宋体" w:hAnsi="宋体" w:cs="宋体"/>
          <w:b/>
          <w:bCs/>
          <w:sz w:val="28"/>
          <w:szCs w:val="28"/>
        </w:rPr>
        <w:t>参加采购活动前</w:t>
      </w:r>
      <w:r>
        <w:rPr>
          <w:rFonts w:ascii="宋体" w:hAnsi="宋体" w:cs="宋体"/>
          <w:b/>
          <w:bCs/>
          <w:sz w:val="28"/>
          <w:szCs w:val="28"/>
        </w:rPr>
        <w:t xml:space="preserve"> 3 </w:t>
      </w:r>
      <w:r>
        <w:rPr>
          <w:rFonts w:hint="eastAsia" w:ascii="宋体" w:hAnsi="宋体" w:cs="宋体"/>
          <w:b/>
          <w:bCs/>
          <w:sz w:val="28"/>
          <w:szCs w:val="28"/>
        </w:rPr>
        <w:t>年内在经营活动中没有重大违法记录的书面声明</w:t>
      </w:r>
    </w:p>
    <w:p w14:paraId="6115A7D5">
      <w:pPr>
        <w:spacing w:line="460" w:lineRule="exact"/>
        <w:rPr>
          <w:rFonts w:ascii="宋体" w:cs="宋体"/>
          <w:b/>
          <w:bCs/>
          <w:sz w:val="30"/>
          <w:szCs w:val="30"/>
        </w:rPr>
      </w:pPr>
    </w:p>
    <w:p w14:paraId="16D47EC2">
      <w:pPr>
        <w:spacing w:line="460" w:lineRule="exact"/>
        <w:ind w:firstLine="480" w:firstLineChars="200"/>
        <w:rPr>
          <w:rFonts w:ascii="宋体" w:cs="宋体"/>
          <w:sz w:val="24"/>
          <w:szCs w:val="24"/>
        </w:rPr>
      </w:pPr>
      <w:r>
        <w:rPr>
          <w:rFonts w:hint="eastAsia" w:ascii="宋体" w:hAnsi="宋体" w:cs="宋体"/>
          <w:sz w:val="24"/>
          <w:szCs w:val="24"/>
        </w:rPr>
        <w:t>我公司郑重声明：参加本次采购活动前</w:t>
      </w:r>
      <w:r>
        <w:rPr>
          <w:rFonts w:ascii="宋体" w:hAnsi="宋体" w:cs="宋体"/>
          <w:sz w:val="24"/>
          <w:szCs w:val="24"/>
        </w:rPr>
        <w:t xml:space="preserve"> 3 </w:t>
      </w:r>
      <w:r>
        <w:rPr>
          <w:rFonts w:hint="eastAsia" w:ascii="宋体" w:hAnsi="宋体" w:cs="宋体"/>
          <w:sz w:val="24"/>
          <w:szCs w:val="24"/>
        </w:rPr>
        <w:t>年内，我公司在经营活动中没有因违法经营受到刑事处罚或者责令停产停业、吊销许可证或者执照、较大数额罚款等行政处罚。</w:t>
      </w:r>
    </w:p>
    <w:p w14:paraId="710F8CEC">
      <w:pPr>
        <w:spacing w:line="460" w:lineRule="exact"/>
        <w:rPr>
          <w:rFonts w:ascii="宋体" w:cs="宋体"/>
          <w:sz w:val="24"/>
          <w:szCs w:val="24"/>
        </w:rPr>
      </w:pPr>
    </w:p>
    <w:p w14:paraId="7C9E3FA1">
      <w:pPr>
        <w:pStyle w:val="9"/>
        <w:rPr>
          <w:rFonts w:hint="eastAsia" w:ascii="宋体" w:hAnsi="宋体" w:cs="宋体"/>
        </w:rPr>
      </w:pPr>
    </w:p>
    <w:p w14:paraId="5DFBF41B">
      <w:pPr>
        <w:pStyle w:val="9"/>
        <w:rPr>
          <w:rFonts w:hint="eastAsia" w:ascii="宋体" w:hAnsi="宋体" w:cs="宋体"/>
        </w:rPr>
      </w:pPr>
    </w:p>
    <w:p w14:paraId="25D089F3">
      <w:pPr>
        <w:spacing w:line="460" w:lineRule="exact"/>
        <w:rPr>
          <w:rFonts w:ascii="宋体" w:cs="宋体"/>
          <w:sz w:val="24"/>
          <w:szCs w:val="24"/>
        </w:rPr>
      </w:pPr>
      <w:r>
        <w:rPr>
          <w:rFonts w:hint="eastAsia" w:ascii="宋体" w:hAnsi="宋体" w:cs="宋体"/>
          <w:sz w:val="24"/>
          <w:szCs w:val="24"/>
        </w:rPr>
        <w:t>投标人全称（加盖公章）：</w:t>
      </w:r>
    </w:p>
    <w:p w14:paraId="4C48F675">
      <w:pPr>
        <w:spacing w:line="460" w:lineRule="exact"/>
        <w:rPr>
          <w:rFonts w:ascii="宋体" w:cs="宋体"/>
          <w:sz w:val="24"/>
          <w:szCs w:val="24"/>
        </w:rPr>
      </w:pPr>
    </w:p>
    <w:p w14:paraId="2623D5C6">
      <w:pPr>
        <w:spacing w:line="460" w:lineRule="exact"/>
        <w:rPr>
          <w:rFonts w:ascii="宋体" w:cs="宋体"/>
          <w:sz w:val="24"/>
          <w:szCs w:val="24"/>
        </w:rPr>
      </w:pPr>
      <w:r>
        <w:rPr>
          <w:rFonts w:hint="eastAsia" w:ascii="宋体" w:hAnsi="宋体" w:cs="宋体"/>
          <w:sz w:val="24"/>
          <w:szCs w:val="24"/>
        </w:rPr>
        <w:t>法定代表人或授权代表签字：</w:t>
      </w:r>
    </w:p>
    <w:p w14:paraId="47CCDCA7">
      <w:pPr>
        <w:spacing w:line="460" w:lineRule="exact"/>
        <w:rPr>
          <w:rFonts w:ascii="宋体" w:cs="宋体"/>
          <w:sz w:val="24"/>
          <w:szCs w:val="24"/>
        </w:rPr>
      </w:pPr>
    </w:p>
    <w:p w14:paraId="1939D6B3">
      <w:pPr>
        <w:spacing w:line="460" w:lineRule="exact"/>
        <w:rPr>
          <w:rFonts w:ascii="宋体" w:cs="宋体"/>
          <w:sz w:val="24"/>
          <w:szCs w:val="24"/>
        </w:rPr>
      </w:pPr>
      <w:r>
        <w:rPr>
          <w:rFonts w:hint="eastAsia" w:ascii="宋体" w:hAnsi="宋体" w:cs="宋体"/>
          <w:sz w:val="24"/>
          <w:szCs w:val="24"/>
        </w:rPr>
        <w:t>日期： 年 月 日</w:t>
      </w:r>
    </w:p>
    <w:p w14:paraId="5AEE574F">
      <w:pPr>
        <w:spacing w:line="460" w:lineRule="exact"/>
        <w:rPr>
          <w:rFonts w:ascii="宋体" w:cs="宋体"/>
          <w:sz w:val="24"/>
          <w:szCs w:val="24"/>
        </w:rPr>
      </w:pPr>
    </w:p>
    <w:p w14:paraId="04985A14">
      <w:pPr>
        <w:rPr>
          <w:rFonts w:hint="eastAsia" w:ascii="宋体" w:hAnsi="宋体"/>
          <w:b/>
          <w:sz w:val="32"/>
          <w:szCs w:val="32"/>
        </w:rPr>
      </w:pPr>
    </w:p>
    <w:p w14:paraId="63C465B7">
      <w:pPr>
        <w:rPr>
          <w:rFonts w:hint="eastAsia" w:ascii="宋体" w:hAnsi="宋体"/>
          <w:b/>
          <w:sz w:val="32"/>
          <w:szCs w:val="32"/>
        </w:rPr>
      </w:pPr>
    </w:p>
    <w:p w14:paraId="007EFD05">
      <w:pPr>
        <w:rPr>
          <w:rFonts w:hint="eastAsia" w:ascii="宋体" w:hAnsi="宋体"/>
          <w:b/>
          <w:sz w:val="32"/>
          <w:szCs w:val="32"/>
        </w:rPr>
      </w:pPr>
    </w:p>
    <w:p w14:paraId="22BD4CA2">
      <w:pPr>
        <w:rPr>
          <w:rFonts w:hint="eastAsia" w:ascii="宋体" w:hAnsi="宋体"/>
          <w:b/>
          <w:sz w:val="32"/>
          <w:szCs w:val="32"/>
        </w:rPr>
      </w:pPr>
    </w:p>
    <w:p w14:paraId="5331B5F3">
      <w:pPr>
        <w:rPr>
          <w:rFonts w:hint="eastAsia" w:ascii="宋体" w:hAnsi="宋体"/>
          <w:b/>
          <w:sz w:val="32"/>
          <w:szCs w:val="32"/>
        </w:rPr>
      </w:pPr>
    </w:p>
    <w:p w14:paraId="351DFB1D">
      <w:pPr>
        <w:rPr>
          <w:rFonts w:hint="eastAsia" w:ascii="宋体" w:hAnsi="宋体"/>
          <w:b/>
          <w:sz w:val="32"/>
          <w:szCs w:val="32"/>
        </w:rPr>
      </w:pPr>
    </w:p>
    <w:p w14:paraId="5A3762CC">
      <w:pPr>
        <w:rPr>
          <w:rFonts w:hint="eastAsia" w:ascii="宋体" w:hAnsi="宋体"/>
          <w:b/>
          <w:sz w:val="32"/>
          <w:szCs w:val="32"/>
        </w:rPr>
      </w:pPr>
    </w:p>
    <w:p w14:paraId="19D60F18">
      <w:pPr>
        <w:rPr>
          <w:rFonts w:hint="eastAsia" w:ascii="宋体" w:hAnsi="宋体"/>
          <w:b/>
          <w:sz w:val="32"/>
          <w:szCs w:val="32"/>
        </w:rPr>
      </w:pPr>
    </w:p>
    <w:p w14:paraId="440DBD2C">
      <w:pPr>
        <w:rPr>
          <w:rFonts w:hint="eastAsia" w:ascii="宋体" w:hAnsi="宋体"/>
          <w:b/>
          <w:sz w:val="32"/>
          <w:szCs w:val="32"/>
        </w:rPr>
      </w:pPr>
    </w:p>
    <w:p w14:paraId="5E1F1654">
      <w:pPr>
        <w:rPr>
          <w:rFonts w:hint="eastAsia" w:ascii="宋体" w:hAnsi="宋体"/>
          <w:b/>
          <w:sz w:val="32"/>
          <w:szCs w:val="32"/>
        </w:rPr>
      </w:pPr>
    </w:p>
    <w:p w14:paraId="69A86A15">
      <w:pPr>
        <w:rPr>
          <w:rFonts w:hint="eastAsia" w:ascii="宋体" w:hAnsi="宋体"/>
          <w:b/>
          <w:sz w:val="32"/>
          <w:szCs w:val="32"/>
        </w:rPr>
      </w:pPr>
    </w:p>
    <w:p w14:paraId="7CFA9219">
      <w:pPr>
        <w:rPr>
          <w:rFonts w:hint="eastAsia" w:ascii="宋体" w:hAnsi="宋体"/>
          <w:b/>
          <w:sz w:val="32"/>
          <w:szCs w:val="32"/>
        </w:rPr>
      </w:pPr>
    </w:p>
    <w:p w14:paraId="33C3CD8E">
      <w:pPr>
        <w:rPr>
          <w:rFonts w:hint="eastAsia" w:ascii="宋体" w:hAnsi="宋体"/>
          <w:b/>
          <w:sz w:val="32"/>
          <w:szCs w:val="32"/>
        </w:rPr>
      </w:pPr>
    </w:p>
    <w:p w14:paraId="79B19FD1">
      <w:pPr>
        <w:rPr>
          <w:rFonts w:hint="eastAsia" w:ascii="宋体" w:hAnsi="宋体"/>
          <w:b/>
          <w:sz w:val="32"/>
          <w:szCs w:val="32"/>
        </w:rPr>
      </w:pPr>
    </w:p>
    <w:p w14:paraId="2E4D0FF6">
      <w:pPr>
        <w:rPr>
          <w:rFonts w:hint="eastAsia" w:ascii="宋体" w:hAnsi="宋体"/>
          <w:b/>
          <w:sz w:val="32"/>
          <w:szCs w:val="32"/>
        </w:rPr>
      </w:pPr>
    </w:p>
    <w:p w14:paraId="5D6A0DBB">
      <w:pPr>
        <w:rPr>
          <w:rFonts w:hint="eastAsia" w:ascii="宋体" w:hAnsi="宋体"/>
          <w:b/>
          <w:sz w:val="32"/>
          <w:szCs w:val="32"/>
        </w:rPr>
      </w:pPr>
    </w:p>
    <w:p w14:paraId="489DB612">
      <w:pPr>
        <w:rPr>
          <w:rFonts w:hint="eastAsia" w:ascii="宋体" w:hAnsi="宋体"/>
          <w:b/>
          <w:sz w:val="32"/>
          <w:szCs w:val="32"/>
        </w:rPr>
      </w:pPr>
    </w:p>
    <w:p w14:paraId="655EA308">
      <w:pPr>
        <w:rPr>
          <w:rFonts w:hint="eastAsia" w:ascii="宋体" w:hAnsi="宋体"/>
          <w:b/>
          <w:sz w:val="32"/>
          <w:szCs w:val="32"/>
        </w:rPr>
      </w:pPr>
      <w:r>
        <w:rPr>
          <w:rFonts w:hint="eastAsia" w:ascii="宋体" w:hAnsi="宋体"/>
          <w:b/>
          <w:sz w:val="32"/>
          <w:szCs w:val="32"/>
        </w:rPr>
        <w:t>附件5</w:t>
      </w:r>
    </w:p>
    <w:p w14:paraId="7AA16995">
      <w:pPr>
        <w:spacing w:before="240" w:line="312" w:lineRule="auto"/>
        <w:jc w:val="center"/>
        <w:rPr>
          <w:rFonts w:hint="eastAsia" w:ascii="宋体" w:hAnsi="宋体" w:cs="宋体"/>
          <w:b/>
          <w:sz w:val="32"/>
          <w:szCs w:val="32"/>
        </w:rPr>
      </w:pPr>
      <w:r>
        <w:rPr>
          <w:rFonts w:hint="eastAsia" w:ascii="宋体" w:hAnsi="宋体" w:cs="宋体"/>
          <w:b/>
          <w:sz w:val="32"/>
          <w:szCs w:val="32"/>
        </w:rPr>
        <w:t>供应商信用承诺书</w:t>
      </w:r>
    </w:p>
    <w:p w14:paraId="1D5C66C0">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为营造公开、公平、公正的公共资源交易环境，树立诚信守法的投标人形象，本人代表本单位作出以下承诺：</w:t>
      </w:r>
    </w:p>
    <w:p w14:paraId="7CDEA3B2">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一、本单位对所提交的单位基本信息、单位负责人、项目负责人、技术负责人、从业资质和资格、业绩、财务状况、信誉等所有资料，均合法、真实、准确、有效，无任何伪造、修改、虚假成分；</w:t>
      </w:r>
    </w:p>
    <w:p w14:paraId="043ADC9A">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二、严格依照国家和省、市、县关于政府采购等方面的法律、法规、规章、规范性文件，参加公共资源交易招标投标活动；积极履行社会责任，促进廉政建设；</w:t>
      </w:r>
    </w:p>
    <w:p w14:paraId="612DBA03">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三、严格遵守即时信息公示规定，及时更新公共资源交易中心主体信息库中信息；</w:t>
      </w:r>
    </w:p>
    <w:p w14:paraId="3245FC87">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四、自我约束、自我管理，守合同、重信用，不参与围标串标、弄虚作假、骗取中标、干扰评标、违约毁约、恶意投诉等行为，主动维护公共资源交易招标投标的良好秩序；</w:t>
      </w:r>
    </w:p>
    <w:p w14:paraId="41F58F0D">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047DAE8F">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六、自觉接受政府部门、行业组织、社会公众、新闻舆论等监督；</w:t>
      </w:r>
    </w:p>
    <w:p w14:paraId="649E4657">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七、上述承诺已向本单位员工作了宣传教育；</w:t>
      </w:r>
    </w:p>
    <w:p w14:paraId="26FD5FC2">
      <w:pPr>
        <w:spacing w:line="360" w:lineRule="auto"/>
        <w:ind w:firstLine="482" w:firstLineChars="200"/>
        <w:rPr>
          <w:rFonts w:hint="eastAsia" w:ascii="宋体" w:hAnsi="宋体" w:cs="宋体"/>
          <w:b/>
          <w:kern w:val="0"/>
          <w:sz w:val="24"/>
          <w:lang w:val="zh-CN"/>
        </w:rPr>
      </w:pPr>
      <w:r>
        <w:rPr>
          <w:rFonts w:hint="eastAsia" w:ascii="宋体" w:hAnsi="宋体" w:cs="宋体"/>
          <w:b/>
          <w:kern w:val="0"/>
          <w:sz w:val="24"/>
          <w:lang w:val="zh-CN"/>
        </w:rPr>
        <w:t>如有违反上述承诺的不良行为，本单位同意将其予以上网公示。</w:t>
      </w:r>
    </w:p>
    <w:p w14:paraId="614F5B62">
      <w:pPr>
        <w:adjustRightInd w:val="0"/>
        <w:spacing w:line="500" w:lineRule="exact"/>
        <w:ind w:left="-2" w:right="120" w:firstLine="480" w:firstLineChars="200"/>
        <w:textAlignment w:val="baseline"/>
        <w:rPr>
          <w:rFonts w:ascii="宋体" w:cs="宋体"/>
          <w:sz w:val="24"/>
          <w:szCs w:val="24"/>
        </w:rPr>
      </w:pPr>
    </w:p>
    <w:p w14:paraId="3C71AA80">
      <w:pPr>
        <w:adjustRightInd w:val="0"/>
        <w:spacing w:line="500" w:lineRule="exact"/>
        <w:ind w:left="-2" w:right="120" w:firstLine="480" w:firstLineChars="200"/>
        <w:textAlignment w:val="baseline"/>
        <w:rPr>
          <w:rFonts w:ascii="宋体" w:cs="宋体"/>
          <w:sz w:val="24"/>
          <w:szCs w:val="24"/>
        </w:rPr>
      </w:pPr>
      <w:r>
        <w:rPr>
          <w:rFonts w:hint="eastAsia" w:ascii="宋体" w:hAnsi="宋体" w:cs="宋体"/>
          <w:sz w:val="24"/>
          <w:szCs w:val="24"/>
        </w:rPr>
        <w:t>投标人全称（加盖公章）：</w:t>
      </w:r>
    </w:p>
    <w:p w14:paraId="6FA6B98D">
      <w:pPr>
        <w:spacing w:line="500" w:lineRule="exact"/>
        <w:ind w:firstLine="480" w:firstLineChars="200"/>
        <w:rPr>
          <w:rFonts w:ascii="宋体" w:cs="宋体"/>
          <w:sz w:val="24"/>
          <w:szCs w:val="24"/>
        </w:rPr>
      </w:pPr>
      <w:r>
        <w:rPr>
          <w:rFonts w:hint="eastAsia" w:ascii="宋体" w:hAnsi="宋体" w:cs="宋体"/>
          <w:sz w:val="24"/>
          <w:szCs w:val="24"/>
        </w:rPr>
        <w:t>法定代表人（签字或盖章）：</w:t>
      </w:r>
    </w:p>
    <w:p w14:paraId="6A295A3E">
      <w:pPr>
        <w:spacing w:line="500" w:lineRule="exact"/>
        <w:ind w:firstLine="641"/>
        <w:jc w:val="center"/>
        <w:rPr>
          <w:rFonts w:ascii="宋体"/>
          <w:b/>
          <w:sz w:val="32"/>
          <w:szCs w:val="32"/>
        </w:rPr>
      </w:pPr>
      <w:r>
        <w:rPr>
          <w:rFonts w:hint="eastAsia" w:ascii="宋体" w:hAnsi="宋体" w:cs="宋体"/>
          <w:sz w:val="24"/>
          <w:szCs w:val="24"/>
        </w:rPr>
        <w:t>时间</w:t>
      </w:r>
      <w:r>
        <w:rPr>
          <w:rFonts w:ascii="宋体" w:hAnsi="宋体" w:cs="宋体"/>
          <w:sz w:val="24"/>
          <w:szCs w:val="24"/>
        </w:rPr>
        <w:t xml:space="preserve">:   </w:t>
      </w:r>
      <w:r>
        <w:rPr>
          <w:rFonts w:hint="eastAsia" w:ascii="宋体" w:hAnsi="宋体" w:cs="宋体"/>
          <w:sz w:val="24"/>
          <w:szCs w:val="24"/>
        </w:rPr>
        <w:t>年   月   日</w:t>
      </w:r>
    </w:p>
    <w:p w14:paraId="4F77FED3">
      <w:pPr>
        <w:snapToGrid w:val="0"/>
        <w:spacing w:before="50" w:after="50"/>
        <w:jc w:val="center"/>
        <w:rPr>
          <w:rFonts w:ascii="宋体"/>
          <w:b/>
          <w:sz w:val="32"/>
          <w:szCs w:val="32"/>
        </w:rPr>
      </w:pPr>
    </w:p>
    <w:p w14:paraId="4977B99F">
      <w:pPr>
        <w:rPr>
          <w:rFonts w:hint="eastAsia" w:ascii="宋体" w:hAnsi="宋体"/>
          <w:b/>
          <w:sz w:val="32"/>
          <w:szCs w:val="32"/>
        </w:rPr>
      </w:pPr>
    </w:p>
    <w:p w14:paraId="1118E1DB">
      <w:pPr>
        <w:rPr>
          <w:rFonts w:hint="eastAsia" w:ascii="宋体" w:hAnsi="宋体"/>
          <w:b/>
          <w:sz w:val="32"/>
          <w:szCs w:val="32"/>
        </w:rPr>
      </w:pPr>
    </w:p>
    <w:p w14:paraId="029D40EA">
      <w:pPr>
        <w:pStyle w:val="9"/>
        <w:rPr>
          <w:rFonts w:hint="eastAsia" w:ascii="宋体" w:hAnsi="宋体"/>
          <w:b/>
          <w:sz w:val="32"/>
          <w:szCs w:val="32"/>
        </w:rPr>
      </w:pPr>
    </w:p>
    <w:p w14:paraId="65D006E1">
      <w:pPr>
        <w:pStyle w:val="22"/>
        <w:rPr>
          <w:rFonts w:hint="eastAsia" w:ascii="宋体" w:hAnsi="宋体"/>
          <w:b/>
          <w:sz w:val="32"/>
          <w:szCs w:val="32"/>
        </w:rPr>
      </w:pPr>
    </w:p>
    <w:p w14:paraId="78A4D694">
      <w:pPr>
        <w:pStyle w:val="22"/>
        <w:rPr>
          <w:rFonts w:hint="eastAsia" w:ascii="宋体" w:hAnsi="宋体"/>
          <w:b/>
          <w:sz w:val="32"/>
          <w:szCs w:val="32"/>
        </w:rPr>
      </w:pPr>
    </w:p>
    <w:p w14:paraId="66C8F1BC">
      <w:pPr>
        <w:rPr>
          <w:rFonts w:hint="eastAsia" w:ascii="宋体" w:hAnsi="宋体"/>
          <w:b/>
          <w:sz w:val="32"/>
          <w:szCs w:val="32"/>
        </w:rPr>
      </w:pPr>
    </w:p>
    <w:p w14:paraId="45EEB0CF">
      <w:pPr>
        <w:rPr>
          <w:rFonts w:hint="eastAsia" w:ascii="宋体" w:hAnsi="宋体"/>
          <w:b/>
          <w:sz w:val="32"/>
          <w:szCs w:val="32"/>
        </w:rPr>
      </w:pPr>
      <w:r>
        <w:rPr>
          <w:rFonts w:hint="eastAsia" w:ascii="宋体" w:hAnsi="宋体"/>
          <w:b/>
          <w:sz w:val="32"/>
          <w:szCs w:val="32"/>
        </w:rPr>
        <w:t>附件6</w:t>
      </w:r>
    </w:p>
    <w:p w14:paraId="7101C42C">
      <w:pPr>
        <w:snapToGrid w:val="0"/>
        <w:spacing w:line="300" w:lineRule="auto"/>
        <w:jc w:val="center"/>
        <w:rPr>
          <w:rFonts w:hint="eastAsia" w:ascii="宋体" w:hAnsi="宋体" w:cs="宋体"/>
          <w:b/>
          <w:sz w:val="32"/>
          <w:szCs w:val="32"/>
        </w:rPr>
      </w:pPr>
      <w:r>
        <w:rPr>
          <w:rFonts w:hint="eastAsia" w:ascii="宋体" w:hAnsi="宋体" w:cs="宋体"/>
          <w:b/>
          <w:sz w:val="32"/>
          <w:szCs w:val="32"/>
        </w:rPr>
        <w:t>商务偏离表</w:t>
      </w:r>
    </w:p>
    <w:p w14:paraId="6BCFB70E">
      <w:pPr>
        <w:ind w:firstLine="560" w:firstLineChars="200"/>
        <w:jc w:val="center"/>
        <w:rPr>
          <w:rFonts w:hint="eastAsia" w:ascii="宋体" w:hAnsi="宋体" w:cs="宋体"/>
          <w:sz w:val="28"/>
          <w:szCs w:val="28"/>
        </w:rPr>
      </w:pPr>
      <w:r>
        <w:rPr>
          <w:rFonts w:hint="eastAsia" w:ascii="宋体" w:hAnsi="宋体" w:cs="宋体"/>
          <w:sz w:val="28"/>
          <w:szCs w:val="28"/>
        </w:rPr>
        <w:t>（由投标人据实填写，表格不够自行添加）</w:t>
      </w:r>
    </w:p>
    <w:tbl>
      <w:tblPr>
        <w:tblStyle w:val="27"/>
        <w:tblW w:w="5000" w:type="pct"/>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48"/>
        <w:gridCol w:w="2329"/>
        <w:gridCol w:w="2856"/>
        <w:gridCol w:w="2647"/>
        <w:gridCol w:w="1382"/>
      </w:tblGrid>
      <w:tr w14:paraId="2E355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1AAE83A8">
            <w:pPr>
              <w:spacing w:line="340" w:lineRule="exact"/>
              <w:jc w:val="center"/>
              <w:rPr>
                <w:rFonts w:hint="eastAsia" w:ascii="宋体" w:hAnsi="宋体" w:cs="宋体"/>
                <w:sz w:val="24"/>
              </w:rPr>
            </w:pPr>
            <w:r>
              <w:rPr>
                <w:rFonts w:hint="eastAsia" w:ascii="宋体" w:hAnsi="宋体" w:cs="宋体"/>
                <w:sz w:val="24"/>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33FD8957">
            <w:pPr>
              <w:spacing w:line="340" w:lineRule="exact"/>
              <w:jc w:val="center"/>
              <w:rPr>
                <w:rFonts w:hint="eastAsia" w:ascii="宋体" w:hAnsi="宋体" w:cs="宋体"/>
                <w:sz w:val="24"/>
              </w:rPr>
            </w:pPr>
            <w:r>
              <w:rPr>
                <w:rFonts w:hint="eastAsia" w:ascii="宋体" w:hAnsi="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208AA91F">
            <w:pPr>
              <w:spacing w:line="340" w:lineRule="exact"/>
              <w:jc w:val="center"/>
              <w:rPr>
                <w:rFonts w:hint="eastAsia" w:ascii="宋体" w:hAnsi="宋体" w:cs="宋体"/>
                <w:sz w:val="24"/>
              </w:rPr>
            </w:pPr>
            <w:r>
              <w:rPr>
                <w:rFonts w:hint="eastAsia" w:ascii="宋体" w:hAnsi="宋体" w:cs="宋体"/>
                <w:sz w:val="24"/>
              </w:rPr>
              <w:t>招标文件要求的商务条款</w:t>
            </w:r>
          </w:p>
        </w:tc>
        <w:tc>
          <w:tcPr>
            <w:tcW w:w="1413" w:type="pct"/>
            <w:tcBorders>
              <w:top w:val="single" w:color="auto" w:sz="12" w:space="0"/>
              <w:left w:val="single" w:color="auto" w:sz="6" w:space="0"/>
              <w:bottom w:val="single" w:color="auto" w:sz="6" w:space="0"/>
              <w:right w:val="single" w:color="auto" w:sz="6" w:space="0"/>
            </w:tcBorders>
            <w:noWrap/>
            <w:vAlign w:val="center"/>
          </w:tcPr>
          <w:p w14:paraId="0286CDED">
            <w:pPr>
              <w:spacing w:line="340" w:lineRule="exact"/>
              <w:jc w:val="center"/>
              <w:rPr>
                <w:rFonts w:hint="eastAsia" w:ascii="宋体" w:hAnsi="宋体" w:cs="宋体"/>
                <w:sz w:val="24"/>
              </w:rPr>
            </w:pPr>
            <w:r>
              <w:rPr>
                <w:rFonts w:hint="eastAsia" w:ascii="宋体" w:hAnsi="宋体" w:cs="宋体"/>
                <w:sz w:val="24"/>
              </w:rPr>
              <w:t>投标文件响应情况</w:t>
            </w:r>
          </w:p>
        </w:tc>
        <w:tc>
          <w:tcPr>
            <w:tcW w:w="778" w:type="pct"/>
            <w:tcBorders>
              <w:top w:val="single" w:color="auto" w:sz="12" w:space="0"/>
              <w:left w:val="single" w:color="auto" w:sz="6" w:space="0"/>
              <w:bottom w:val="single" w:color="auto" w:sz="6" w:space="0"/>
              <w:right w:val="single" w:color="auto" w:sz="12" w:space="0"/>
            </w:tcBorders>
            <w:noWrap/>
          </w:tcPr>
          <w:p w14:paraId="0896B167">
            <w:pPr>
              <w:spacing w:line="340" w:lineRule="exact"/>
              <w:jc w:val="center"/>
              <w:rPr>
                <w:rFonts w:hint="eastAsia" w:ascii="宋体" w:hAnsi="宋体" w:cs="宋体"/>
                <w:sz w:val="24"/>
              </w:rPr>
            </w:pPr>
          </w:p>
          <w:p w14:paraId="182067A8">
            <w:pPr>
              <w:spacing w:line="340" w:lineRule="exact"/>
              <w:jc w:val="center"/>
              <w:rPr>
                <w:rFonts w:hint="eastAsia" w:ascii="宋体" w:hAnsi="宋体" w:cs="宋体"/>
                <w:sz w:val="24"/>
              </w:rPr>
            </w:pPr>
            <w:r>
              <w:rPr>
                <w:rFonts w:hint="eastAsia" w:ascii="宋体" w:hAnsi="宋体" w:cs="宋体"/>
                <w:sz w:val="24"/>
              </w:rPr>
              <w:t>偏离说明</w:t>
            </w:r>
          </w:p>
        </w:tc>
      </w:tr>
      <w:tr w14:paraId="67CB3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4FF41506">
            <w:pPr>
              <w:spacing w:line="340" w:lineRule="exact"/>
              <w:jc w:val="center"/>
              <w:rPr>
                <w:rFonts w:hint="eastAsia" w:ascii="宋体" w:hAnsi="宋体" w:cs="宋体"/>
                <w:sz w:val="24"/>
              </w:rPr>
            </w:pPr>
            <w:r>
              <w:rPr>
                <w:rFonts w:hint="eastAsia" w:ascii="宋体" w:hAnsi="宋体" w:cs="宋体"/>
                <w:sz w:val="24"/>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61D767F3">
            <w:pPr>
              <w:spacing w:line="340" w:lineRule="exact"/>
              <w:jc w:val="left"/>
              <w:rPr>
                <w:rFonts w:hint="eastAsia"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1FBBB27E">
            <w:pPr>
              <w:spacing w:line="340" w:lineRule="exact"/>
              <w:jc w:val="left"/>
              <w:rPr>
                <w:rFonts w:hint="eastAsia"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EBB3DBF">
            <w:pPr>
              <w:spacing w:line="340" w:lineRule="exact"/>
              <w:jc w:val="left"/>
              <w:rPr>
                <w:rFonts w:hint="eastAsia"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noWrap/>
          </w:tcPr>
          <w:p w14:paraId="703CCE81">
            <w:pPr>
              <w:spacing w:line="340" w:lineRule="exact"/>
              <w:jc w:val="left"/>
              <w:rPr>
                <w:rFonts w:hint="eastAsia" w:ascii="宋体" w:hAnsi="宋体" w:cs="宋体"/>
                <w:sz w:val="24"/>
              </w:rPr>
            </w:pPr>
          </w:p>
        </w:tc>
      </w:tr>
      <w:tr w14:paraId="3A51F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790EF39C">
            <w:pPr>
              <w:spacing w:line="340" w:lineRule="exact"/>
              <w:jc w:val="center"/>
              <w:rPr>
                <w:rFonts w:hint="eastAsia" w:ascii="宋体" w:hAnsi="宋体" w:cs="宋体"/>
                <w:sz w:val="24"/>
              </w:rPr>
            </w:pPr>
            <w:r>
              <w:rPr>
                <w:rFonts w:hint="eastAsia" w:ascii="宋体" w:hAnsi="宋体" w:cs="宋体"/>
                <w:sz w:val="24"/>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4DA49238">
            <w:pPr>
              <w:spacing w:line="340" w:lineRule="exact"/>
              <w:jc w:val="left"/>
              <w:rPr>
                <w:rFonts w:hint="eastAsia"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3D8A5393">
            <w:pPr>
              <w:spacing w:line="340" w:lineRule="exact"/>
              <w:jc w:val="left"/>
              <w:rPr>
                <w:rFonts w:hint="eastAsia"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EB4F116">
            <w:pPr>
              <w:spacing w:line="340" w:lineRule="exact"/>
              <w:jc w:val="left"/>
              <w:rPr>
                <w:rFonts w:hint="eastAsia"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noWrap/>
          </w:tcPr>
          <w:p w14:paraId="7E91CC27">
            <w:pPr>
              <w:spacing w:line="340" w:lineRule="exact"/>
              <w:jc w:val="left"/>
              <w:rPr>
                <w:rFonts w:hint="eastAsia" w:ascii="宋体" w:hAnsi="宋体" w:cs="宋体"/>
                <w:sz w:val="24"/>
              </w:rPr>
            </w:pPr>
          </w:p>
        </w:tc>
      </w:tr>
      <w:tr w14:paraId="17C0F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7626E619">
            <w:pPr>
              <w:spacing w:line="340" w:lineRule="exact"/>
              <w:jc w:val="center"/>
              <w:rPr>
                <w:rFonts w:hint="eastAsia" w:ascii="宋体" w:hAnsi="宋体" w:cs="宋体"/>
                <w:sz w:val="24"/>
              </w:rPr>
            </w:pPr>
            <w:r>
              <w:rPr>
                <w:rFonts w:hint="eastAsia" w:ascii="宋体" w:hAnsi="宋体" w:cs="宋体"/>
                <w:sz w:val="24"/>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4D56500E">
            <w:pPr>
              <w:spacing w:line="340" w:lineRule="exact"/>
              <w:jc w:val="left"/>
              <w:rPr>
                <w:rFonts w:hint="eastAsia"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034A1669">
            <w:pPr>
              <w:spacing w:line="340" w:lineRule="exact"/>
              <w:jc w:val="left"/>
              <w:rPr>
                <w:rFonts w:hint="eastAsia"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4C4A6E25">
            <w:pPr>
              <w:spacing w:line="340" w:lineRule="exact"/>
              <w:jc w:val="left"/>
              <w:rPr>
                <w:rFonts w:hint="eastAsia"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noWrap/>
          </w:tcPr>
          <w:p w14:paraId="5E705D87">
            <w:pPr>
              <w:spacing w:line="340" w:lineRule="exact"/>
              <w:jc w:val="left"/>
              <w:rPr>
                <w:rFonts w:hint="eastAsia" w:ascii="宋体" w:hAnsi="宋体" w:cs="宋体"/>
                <w:sz w:val="24"/>
              </w:rPr>
            </w:pPr>
          </w:p>
        </w:tc>
      </w:tr>
      <w:tr w14:paraId="570E7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61DB416C">
            <w:pPr>
              <w:spacing w:line="340" w:lineRule="exact"/>
              <w:jc w:val="center"/>
              <w:rPr>
                <w:rFonts w:hint="eastAsia" w:ascii="宋体" w:hAnsi="宋体" w:cs="宋体"/>
                <w:sz w:val="24"/>
              </w:rPr>
            </w:pPr>
            <w:r>
              <w:rPr>
                <w:rFonts w:hint="eastAsia" w:ascii="宋体" w:hAnsi="宋体" w:cs="宋体"/>
                <w:sz w:val="24"/>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3369A686">
            <w:pPr>
              <w:spacing w:line="340" w:lineRule="exact"/>
              <w:jc w:val="left"/>
              <w:rPr>
                <w:rFonts w:hint="eastAsia"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772637CC">
            <w:pPr>
              <w:spacing w:line="340" w:lineRule="exact"/>
              <w:jc w:val="left"/>
              <w:rPr>
                <w:rFonts w:hint="eastAsia"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10377424">
            <w:pPr>
              <w:spacing w:line="340" w:lineRule="exact"/>
              <w:jc w:val="left"/>
              <w:rPr>
                <w:rFonts w:hint="eastAsia"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noWrap/>
          </w:tcPr>
          <w:p w14:paraId="3A6F3343">
            <w:pPr>
              <w:spacing w:line="340" w:lineRule="exact"/>
              <w:jc w:val="left"/>
              <w:rPr>
                <w:rFonts w:hint="eastAsia" w:ascii="宋体" w:hAnsi="宋体" w:cs="宋体"/>
                <w:sz w:val="24"/>
              </w:rPr>
            </w:pPr>
          </w:p>
        </w:tc>
      </w:tr>
    </w:tbl>
    <w:p w14:paraId="60B6A3EC">
      <w:pPr>
        <w:ind w:firstLine="560" w:firstLineChars="200"/>
        <w:jc w:val="center"/>
        <w:rPr>
          <w:rFonts w:hint="eastAsia" w:ascii="宋体" w:hAnsi="宋体" w:cs="宋体"/>
          <w:sz w:val="28"/>
          <w:szCs w:val="28"/>
        </w:rPr>
      </w:pPr>
    </w:p>
    <w:p w14:paraId="59BB813B">
      <w:pPr>
        <w:snapToGrid w:val="0"/>
        <w:spacing w:line="400" w:lineRule="exact"/>
        <w:rPr>
          <w:rFonts w:hint="eastAsia" w:ascii="宋体" w:hAnsi="宋体" w:cs="宋体"/>
          <w:sz w:val="24"/>
        </w:rPr>
      </w:pPr>
      <w:r>
        <w:rPr>
          <w:rFonts w:hint="eastAsia" w:ascii="宋体" w:hAnsi="宋体" w:cs="宋体"/>
          <w:sz w:val="24"/>
        </w:rPr>
        <w:t>1.投标人提交的投标文件中与招标文件第三部分“项目需求”中的商务部分的要求如有不一致的，应逐条填列在偏离表中。未填写的内容视为完全响应本招标文件要求。</w:t>
      </w:r>
    </w:p>
    <w:p w14:paraId="09598EE0">
      <w:pPr>
        <w:snapToGrid w:val="0"/>
        <w:spacing w:line="400" w:lineRule="exact"/>
        <w:rPr>
          <w:rFonts w:hint="eastAsia" w:ascii="宋体" w:hAnsi="宋体" w:cs="宋体"/>
          <w:sz w:val="24"/>
        </w:rPr>
      </w:pPr>
      <w:r>
        <w:rPr>
          <w:rFonts w:hint="eastAsia" w:ascii="宋体" w:hAnsi="宋体" w:cs="宋体"/>
          <w:sz w:val="24"/>
        </w:rPr>
        <w:t>2.“偏离说明”一栏选择“正偏离”、“无偏离”、“负偏离”进行填写。正偏离、无偏离的确认和负偏离的是否响应招标文件，由评委认定。</w:t>
      </w:r>
    </w:p>
    <w:p w14:paraId="4BCAE411">
      <w:pPr>
        <w:snapToGrid w:val="0"/>
        <w:spacing w:line="400" w:lineRule="exact"/>
        <w:rPr>
          <w:rFonts w:hint="eastAsia" w:ascii="宋体" w:hAnsi="宋体" w:cs="宋体"/>
          <w:sz w:val="24"/>
        </w:rPr>
      </w:pPr>
      <w:r>
        <w:rPr>
          <w:rFonts w:hint="eastAsia" w:ascii="宋体" w:hAnsi="宋体" w:cs="宋体"/>
          <w:sz w:val="24"/>
        </w:rPr>
        <w:t>3.供应商若提供其他增值服务，可以在表中自行据实填写。</w:t>
      </w:r>
    </w:p>
    <w:p w14:paraId="419C3EF6">
      <w:pPr>
        <w:rPr>
          <w:rFonts w:hint="eastAsia" w:ascii="宋体" w:hAnsi="宋体" w:cs="宋体"/>
        </w:rPr>
      </w:pPr>
    </w:p>
    <w:p w14:paraId="22283497">
      <w:pPr>
        <w:snapToGrid w:val="0"/>
        <w:spacing w:line="400" w:lineRule="exact"/>
        <w:rPr>
          <w:rFonts w:hint="eastAsia" w:ascii="宋体" w:hAnsi="宋体" w:cs="宋体"/>
          <w:sz w:val="24"/>
        </w:rPr>
      </w:pPr>
    </w:p>
    <w:p w14:paraId="7B765ACB">
      <w:pPr>
        <w:snapToGrid w:val="0"/>
        <w:spacing w:line="400" w:lineRule="exact"/>
        <w:rPr>
          <w:rFonts w:hint="eastAsia" w:ascii="宋体" w:hAnsi="宋体" w:cs="宋体"/>
          <w:kern w:val="0"/>
          <w:sz w:val="32"/>
          <w:szCs w:val="32"/>
        </w:rPr>
      </w:pPr>
    </w:p>
    <w:p w14:paraId="06862B11">
      <w:pPr>
        <w:pStyle w:val="68"/>
        <w:ind w:firstLine="640"/>
        <w:rPr>
          <w:rFonts w:hint="eastAsia" w:ascii="宋体" w:hAnsi="宋体" w:cs="宋体"/>
          <w:kern w:val="0"/>
          <w:sz w:val="32"/>
          <w:szCs w:val="32"/>
        </w:rPr>
      </w:pPr>
    </w:p>
    <w:p w14:paraId="642ECE77">
      <w:pPr>
        <w:pStyle w:val="4"/>
        <w:ind w:firstLine="482" w:firstLineChars="150"/>
        <w:jc w:val="center"/>
        <w:rPr>
          <w:rFonts w:hint="eastAsia" w:ascii="宋体" w:hAnsi="宋体"/>
        </w:rPr>
      </w:pPr>
    </w:p>
    <w:p w14:paraId="72B39A45">
      <w:pPr>
        <w:pStyle w:val="4"/>
        <w:ind w:firstLine="482" w:firstLineChars="150"/>
        <w:jc w:val="center"/>
        <w:rPr>
          <w:rFonts w:hint="eastAsia" w:ascii="宋体" w:hAnsi="宋体"/>
        </w:rPr>
      </w:pPr>
    </w:p>
    <w:p w14:paraId="6F32509C">
      <w:pPr>
        <w:rPr>
          <w:rFonts w:hint="eastAsia" w:ascii="宋体" w:hAnsi="宋体"/>
        </w:rPr>
      </w:pPr>
    </w:p>
    <w:p w14:paraId="784B6123">
      <w:pPr>
        <w:pStyle w:val="9"/>
        <w:rPr>
          <w:rFonts w:hint="eastAsia" w:ascii="宋体" w:hAnsi="宋体"/>
        </w:rPr>
      </w:pPr>
    </w:p>
    <w:p w14:paraId="7EDA6E47">
      <w:pPr>
        <w:rPr>
          <w:rFonts w:hint="eastAsia" w:ascii="宋体" w:hAnsi="宋体"/>
        </w:rPr>
      </w:pPr>
    </w:p>
    <w:p w14:paraId="1CC58FA8">
      <w:pPr>
        <w:pStyle w:val="9"/>
        <w:rPr>
          <w:rFonts w:hint="eastAsia" w:ascii="宋体" w:hAnsi="宋体"/>
        </w:rPr>
      </w:pPr>
    </w:p>
    <w:p w14:paraId="6224EF3B">
      <w:pPr>
        <w:rPr>
          <w:rFonts w:hint="eastAsia" w:ascii="宋体" w:hAnsi="宋体"/>
        </w:rPr>
      </w:pPr>
    </w:p>
    <w:p w14:paraId="3DFA840C">
      <w:pPr>
        <w:pStyle w:val="9"/>
      </w:pPr>
    </w:p>
    <w:p w14:paraId="4EA8A37D">
      <w:pPr>
        <w:rPr>
          <w:rFonts w:hint="eastAsia" w:ascii="宋体" w:hAnsi="宋体"/>
        </w:rPr>
      </w:pPr>
    </w:p>
    <w:p w14:paraId="3694D82A">
      <w:pPr>
        <w:pStyle w:val="9"/>
      </w:pPr>
    </w:p>
    <w:p w14:paraId="0735905D">
      <w:pPr>
        <w:rPr>
          <w:rFonts w:hint="eastAsia" w:ascii="宋体" w:hAnsi="宋体"/>
          <w:b/>
          <w:sz w:val="32"/>
          <w:szCs w:val="32"/>
        </w:rPr>
      </w:pPr>
      <w:bookmarkStart w:id="64" w:name="_Toc434820124"/>
      <w:bookmarkStart w:id="65" w:name="_Toc287782058"/>
    </w:p>
    <w:p w14:paraId="2CEFEFBE">
      <w:pPr>
        <w:rPr>
          <w:rFonts w:hint="eastAsia" w:ascii="宋体" w:hAnsi="宋体"/>
          <w:b/>
          <w:sz w:val="32"/>
          <w:szCs w:val="32"/>
        </w:rPr>
      </w:pPr>
    </w:p>
    <w:p w14:paraId="0BCD0918">
      <w:pPr>
        <w:rPr>
          <w:rFonts w:hint="eastAsia" w:ascii="宋体" w:hAnsi="宋体"/>
          <w:b/>
          <w:sz w:val="32"/>
          <w:szCs w:val="32"/>
        </w:rPr>
      </w:pPr>
      <w:r>
        <w:rPr>
          <w:rFonts w:hint="eastAsia" w:ascii="宋体" w:hAnsi="宋体"/>
          <w:b/>
          <w:sz w:val="32"/>
          <w:szCs w:val="32"/>
        </w:rPr>
        <w:t>附件7</w:t>
      </w:r>
    </w:p>
    <w:p w14:paraId="53E2929E">
      <w:pPr>
        <w:tabs>
          <w:tab w:val="left" w:pos="1325"/>
        </w:tabs>
        <w:adjustRightInd w:val="0"/>
        <w:snapToGrid w:val="0"/>
        <w:spacing w:line="360" w:lineRule="auto"/>
        <w:ind w:firstLine="3534" w:firstLineChars="1100"/>
        <w:rPr>
          <w:rFonts w:hint="eastAsia" w:ascii="宋体" w:hAnsi="宋体" w:cs="宋体"/>
          <w:b/>
          <w:bCs/>
          <w:sz w:val="24"/>
          <w:szCs w:val="24"/>
        </w:rPr>
      </w:pPr>
      <w:r>
        <w:rPr>
          <w:rFonts w:hint="eastAsia" w:ascii="宋体" w:hAnsi="宋体" w:cs="宋体"/>
          <w:b/>
          <w:bCs/>
          <w:sz w:val="32"/>
          <w:szCs w:val="32"/>
        </w:rPr>
        <w:t>开标一览表</w:t>
      </w:r>
    </w:p>
    <w:p w14:paraId="361F9A61">
      <w:pPr>
        <w:tabs>
          <w:tab w:val="left" w:pos="1325"/>
        </w:tabs>
        <w:adjustRightInd w:val="0"/>
        <w:snapToGrid w:val="0"/>
        <w:spacing w:line="360" w:lineRule="auto"/>
        <w:rPr>
          <w:rFonts w:hint="eastAsia" w:ascii="宋体" w:hAnsi="宋体" w:cs="宋体"/>
          <w:b/>
          <w:bCs/>
          <w:sz w:val="24"/>
          <w:szCs w:val="24"/>
        </w:rPr>
      </w:pPr>
    </w:p>
    <w:tbl>
      <w:tblPr>
        <w:tblStyle w:val="27"/>
        <w:tblpPr w:leftFromText="180" w:rightFromText="180" w:vertAnchor="text" w:horzAnchor="page" w:tblpX="956" w:tblpY="173"/>
        <w:tblOverlap w:val="never"/>
        <w:tblW w:w="10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309"/>
        <w:gridCol w:w="3855"/>
        <w:gridCol w:w="2048"/>
      </w:tblGrid>
      <w:tr w14:paraId="4AB6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45" w:type="dxa"/>
          </w:tcPr>
          <w:p w14:paraId="7572530D">
            <w:pPr>
              <w:pStyle w:val="89"/>
              <w:spacing w:line="400" w:lineRule="exact"/>
              <w:rPr>
                <w:rFonts w:ascii="Times New Roman" w:hAnsi="Times New Roman"/>
                <w:b/>
                <w:bCs/>
                <w:sz w:val="24"/>
              </w:rPr>
            </w:pPr>
            <w:r>
              <w:rPr>
                <w:rFonts w:hint="eastAsia" w:ascii="Times New Roman" w:hAnsi="Times New Roman"/>
                <w:b/>
                <w:bCs/>
                <w:sz w:val="24"/>
              </w:rPr>
              <w:t>序号</w:t>
            </w:r>
          </w:p>
        </w:tc>
        <w:tc>
          <w:tcPr>
            <w:tcW w:w="3309" w:type="dxa"/>
          </w:tcPr>
          <w:p w14:paraId="3DE9156E">
            <w:pPr>
              <w:pStyle w:val="89"/>
              <w:spacing w:line="400" w:lineRule="exact"/>
              <w:ind w:firstLine="482"/>
              <w:rPr>
                <w:rFonts w:ascii="Times New Roman" w:hAnsi="Times New Roman"/>
                <w:b/>
                <w:bCs/>
                <w:sz w:val="24"/>
              </w:rPr>
            </w:pPr>
            <w:r>
              <w:rPr>
                <w:rFonts w:ascii="Times New Roman" w:hAnsi="Times New Roman"/>
                <w:b/>
                <w:bCs/>
                <w:sz w:val="24"/>
              </w:rPr>
              <w:t>项目名称</w:t>
            </w:r>
          </w:p>
        </w:tc>
        <w:tc>
          <w:tcPr>
            <w:tcW w:w="3855" w:type="dxa"/>
          </w:tcPr>
          <w:p w14:paraId="31E7F29B">
            <w:pPr>
              <w:pStyle w:val="89"/>
              <w:spacing w:line="400" w:lineRule="exact"/>
              <w:ind w:firstLine="1687" w:firstLineChars="700"/>
              <w:rPr>
                <w:rFonts w:ascii="Times New Roman" w:hAnsi="Times New Roman"/>
                <w:b/>
                <w:bCs/>
                <w:sz w:val="24"/>
              </w:rPr>
            </w:pPr>
            <w:r>
              <w:rPr>
                <w:rFonts w:hint="eastAsia" w:ascii="Times New Roman" w:hAnsi="Times New Roman"/>
                <w:b/>
                <w:bCs/>
                <w:sz w:val="24"/>
              </w:rPr>
              <w:t>投标报价（元）</w:t>
            </w:r>
          </w:p>
        </w:tc>
        <w:tc>
          <w:tcPr>
            <w:tcW w:w="2048" w:type="dxa"/>
          </w:tcPr>
          <w:p w14:paraId="2A52EF63">
            <w:pPr>
              <w:pStyle w:val="89"/>
              <w:spacing w:line="400" w:lineRule="exact"/>
              <w:rPr>
                <w:rFonts w:ascii="Times New Roman" w:hAnsi="Times New Roman"/>
                <w:b/>
                <w:bCs/>
                <w:sz w:val="24"/>
              </w:rPr>
            </w:pPr>
            <w:r>
              <w:rPr>
                <w:rFonts w:ascii="Times New Roman" w:hAnsi="Times New Roman"/>
                <w:b/>
                <w:bCs/>
                <w:sz w:val="24"/>
              </w:rPr>
              <w:t>备注</w:t>
            </w:r>
          </w:p>
        </w:tc>
      </w:tr>
      <w:tr w14:paraId="551C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45" w:type="dxa"/>
          </w:tcPr>
          <w:p w14:paraId="56CAAA40">
            <w:pPr>
              <w:spacing w:line="400" w:lineRule="exact"/>
              <w:jc w:val="center"/>
            </w:pPr>
            <w:r>
              <w:rPr>
                <w:rFonts w:hint="eastAsia"/>
              </w:rPr>
              <w:t>1</w:t>
            </w:r>
          </w:p>
        </w:tc>
        <w:tc>
          <w:tcPr>
            <w:tcW w:w="3309" w:type="dxa"/>
          </w:tcPr>
          <w:p w14:paraId="37F22A66">
            <w:pPr>
              <w:pStyle w:val="89"/>
              <w:spacing w:line="400" w:lineRule="exact"/>
            </w:pPr>
            <w:r>
              <w:rPr>
                <w:rFonts w:hint="eastAsia" w:ascii="Times New Roman" w:hAnsi="Times New Roman"/>
                <w:sz w:val="24"/>
              </w:rPr>
              <w:t>如东水务集团有限公司安保等服务项目</w:t>
            </w:r>
          </w:p>
        </w:tc>
        <w:tc>
          <w:tcPr>
            <w:tcW w:w="3855" w:type="dxa"/>
          </w:tcPr>
          <w:p w14:paraId="60515A07">
            <w:pPr>
              <w:pStyle w:val="89"/>
              <w:spacing w:line="400" w:lineRule="exact"/>
              <w:rPr>
                <w:rFonts w:ascii="Times New Roman" w:hAnsi="Times New Roman"/>
                <w:sz w:val="24"/>
              </w:rPr>
            </w:pPr>
            <w:r>
              <w:rPr>
                <w:rFonts w:hint="eastAsia" w:ascii="Times New Roman" w:hAnsi="Times New Roman"/>
                <w:sz w:val="24"/>
              </w:rPr>
              <w:t>大写：</w:t>
            </w:r>
          </w:p>
          <w:p w14:paraId="2BF7A99E">
            <w:pPr>
              <w:pStyle w:val="89"/>
              <w:spacing w:line="400" w:lineRule="exact"/>
              <w:rPr>
                <w:rFonts w:ascii="Times New Roman" w:hAnsi="Times New Roman"/>
                <w:sz w:val="24"/>
              </w:rPr>
            </w:pPr>
            <w:r>
              <w:rPr>
                <w:rFonts w:hint="eastAsia" w:ascii="Times New Roman" w:hAnsi="Times New Roman"/>
                <w:sz w:val="24"/>
              </w:rPr>
              <w:t>小写：</w:t>
            </w:r>
          </w:p>
        </w:tc>
        <w:tc>
          <w:tcPr>
            <w:tcW w:w="2048" w:type="dxa"/>
          </w:tcPr>
          <w:p w14:paraId="5732DB87">
            <w:pPr>
              <w:pStyle w:val="89"/>
              <w:spacing w:line="400" w:lineRule="exact"/>
              <w:jc w:val="center"/>
              <w:rPr>
                <w:rFonts w:ascii="Times New Roman" w:hAnsi="Times New Roman"/>
                <w:sz w:val="24"/>
              </w:rPr>
            </w:pPr>
          </w:p>
        </w:tc>
      </w:tr>
    </w:tbl>
    <w:p w14:paraId="4865D426">
      <w:pPr>
        <w:adjustRightInd w:val="0"/>
        <w:snapToGrid w:val="0"/>
        <w:spacing w:line="360" w:lineRule="auto"/>
        <w:rPr>
          <w:sz w:val="24"/>
          <w:szCs w:val="24"/>
        </w:rPr>
      </w:pPr>
      <w:r>
        <w:rPr>
          <w:rFonts w:hint="eastAsia" w:ascii="宋体" w:hAnsi="宋体" w:cs="Arial"/>
          <w:b/>
          <w:sz w:val="24"/>
        </w:rPr>
        <w:t>注：1.本项目采购预算为</w:t>
      </w:r>
      <w:r>
        <w:rPr>
          <w:rFonts w:hint="eastAsia" w:ascii="宋体" w:hAnsi="宋体" w:cs="Arial"/>
          <w:b/>
          <w:sz w:val="24"/>
          <w:lang w:val="en-US" w:eastAsia="zh-CN"/>
        </w:rPr>
        <w:t>210</w:t>
      </w:r>
      <w:r>
        <w:rPr>
          <w:rFonts w:hint="eastAsia" w:ascii="宋体" w:hAnsi="宋体" w:cs="Arial"/>
          <w:b/>
          <w:sz w:val="24"/>
        </w:rPr>
        <w:t>万元，投标人的投标报价高于采购预算金额的作无效投标处理。</w:t>
      </w:r>
    </w:p>
    <w:p w14:paraId="0588A394">
      <w:pPr>
        <w:adjustRightInd w:val="0"/>
        <w:snapToGrid w:val="0"/>
        <w:spacing w:line="360" w:lineRule="auto"/>
        <w:ind w:firstLine="482" w:firstLineChars="200"/>
        <w:rPr>
          <w:rFonts w:hint="eastAsia" w:ascii="宋体" w:hAnsi="宋体" w:cs="Arial"/>
          <w:b/>
          <w:sz w:val="24"/>
        </w:rPr>
      </w:pPr>
      <w:r>
        <w:rPr>
          <w:rFonts w:hint="eastAsia" w:ascii="宋体" w:hAnsi="宋体" w:cs="Arial"/>
          <w:b/>
          <w:sz w:val="24"/>
        </w:rPr>
        <w:t>2.本项目招标代理费由中标单位支付，支付金额为中标价*2.5‰（当单项工程计费不足2000元，则以2000元计），请各投标供应商将此费用一并考虑在投标报价中。投标时做好费用准备，中标供应商在中标后向代理单位缴纳。</w:t>
      </w:r>
    </w:p>
    <w:p w14:paraId="65F81C36">
      <w:pPr>
        <w:pStyle w:val="14"/>
        <w:adjustRightInd w:val="0"/>
        <w:snapToGrid w:val="0"/>
        <w:spacing w:line="360" w:lineRule="auto"/>
        <w:rPr>
          <w:rFonts w:hint="eastAsia" w:hAnsi="宋体" w:cs="宋体"/>
          <w:sz w:val="28"/>
          <w:szCs w:val="28"/>
        </w:rPr>
      </w:pPr>
    </w:p>
    <w:p w14:paraId="7A5F2D56">
      <w:pPr>
        <w:pStyle w:val="14"/>
        <w:adjustRightInd w:val="0"/>
        <w:snapToGrid w:val="0"/>
        <w:spacing w:line="360" w:lineRule="auto"/>
        <w:rPr>
          <w:rFonts w:hint="eastAsia" w:hAnsi="宋体" w:cs="宋体"/>
          <w:sz w:val="28"/>
          <w:szCs w:val="28"/>
        </w:rPr>
      </w:pPr>
    </w:p>
    <w:p w14:paraId="305B47C3">
      <w:pPr>
        <w:pStyle w:val="14"/>
        <w:adjustRightInd w:val="0"/>
        <w:snapToGrid w:val="0"/>
        <w:spacing w:line="360" w:lineRule="auto"/>
        <w:rPr>
          <w:rFonts w:hint="eastAsia" w:hAnsi="宋体" w:cs="宋体"/>
          <w:sz w:val="28"/>
          <w:szCs w:val="28"/>
          <w:u w:val="single"/>
        </w:rPr>
      </w:pPr>
      <w:r>
        <w:rPr>
          <w:rFonts w:hint="eastAsia" w:hAnsi="宋体" w:cs="宋体"/>
          <w:sz w:val="28"/>
          <w:szCs w:val="28"/>
        </w:rPr>
        <w:t>投标人名称</w:t>
      </w:r>
      <w:r>
        <w:rPr>
          <w:rFonts w:hAnsi="宋体" w:cs="宋体"/>
          <w:sz w:val="28"/>
          <w:szCs w:val="28"/>
        </w:rPr>
        <w:t xml:space="preserve">  (</w:t>
      </w:r>
      <w:r>
        <w:rPr>
          <w:rFonts w:hint="eastAsia" w:hAnsi="宋体" w:cs="宋体"/>
          <w:sz w:val="28"/>
          <w:szCs w:val="28"/>
        </w:rPr>
        <w:t>盖章</w:t>
      </w:r>
      <w:r>
        <w:rPr>
          <w:rFonts w:hAnsi="宋体" w:cs="宋体"/>
          <w:sz w:val="28"/>
          <w:szCs w:val="28"/>
        </w:rPr>
        <w:t>)</w:t>
      </w:r>
      <w:r>
        <w:rPr>
          <w:rFonts w:hint="eastAsia" w:hAnsi="宋体" w:cs="宋体"/>
          <w:sz w:val="28"/>
          <w:szCs w:val="28"/>
        </w:rPr>
        <w:t>：</w:t>
      </w:r>
      <w:r>
        <w:rPr>
          <w:rFonts w:hint="eastAsia" w:hAnsi="宋体" w:cs="宋体"/>
          <w:sz w:val="28"/>
          <w:szCs w:val="28"/>
          <w:u w:val="single"/>
        </w:rPr>
        <w:t xml:space="preserve">                          </w:t>
      </w:r>
    </w:p>
    <w:p w14:paraId="38DCBFB5">
      <w:pPr>
        <w:spacing w:line="360" w:lineRule="auto"/>
        <w:rPr>
          <w:rFonts w:hint="eastAsia" w:ascii="宋体" w:hAnsi="宋体" w:cs="宋体"/>
          <w:sz w:val="28"/>
          <w:szCs w:val="28"/>
        </w:rPr>
      </w:pPr>
      <w:r>
        <w:rPr>
          <w:rFonts w:hint="eastAsia" w:ascii="宋体" w:hAnsi="宋体" w:cs="宋体"/>
          <w:sz w:val="28"/>
          <w:szCs w:val="28"/>
        </w:rPr>
        <w:t xml:space="preserve"> 日期：   年   月   日</w:t>
      </w:r>
    </w:p>
    <w:bookmarkEnd w:id="64"/>
    <w:bookmarkEnd w:id="65"/>
    <w:p w14:paraId="07B3619E">
      <w:pPr>
        <w:snapToGrid w:val="0"/>
        <w:spacing w:line="400" w:lineRule="exact"/>
        <w:rPr>
          <w:rFonts w:hint="eastAsia" w:ascii="宋体" w:hAnsi="宋体" w:cs="宋体"/>
          <w:kern w:val="0"/>
          <w:sz w:val="32"/>
          <w:szCs w:val="32"/>
        </w:rPr>
      </w:pPr>
    </w:p>
    <w:p w14:paraId="07B49C3B">
      <w:pPr>
        <w:snapToGrid w:val="0"/>
        <w:spacing w:line="400" w:lineRule="exact"/>
        <w:rPr>
          <w:rFonts w:hint="eastAsia" w:ascii="宋体" w:hAnsi="宋体" w:cs="宋体"/>
          <w:kern w:val="0"/>
          <w:sz w:val="32"/>
          <w:szCs w:val="32"/>
        </w:rPr>
      </w:pPr>
    </w:p>
    <w:p w14:paraId="36DA2EE5">
      <w:pPr>
        <w:snapToGrid w:val="0"/>
        <w:spacing w:line="400" w:lineRule="exact"/>
        <w:rPr>
          <w:rFonts w:hint="eastAsia" w:ascii="宋体" w:hAnsi="宋体" w:cs="宋体"/>
          <w:kern w:val="0"/>
          <w:sz w:val="32"/>
          <w:szCs w:val="32"/>
        </w:rPr>
      </w:pPr>
    </w:p>
    <w:p w14:paraId="6B45C827">
      <w:pPr>
        <w:jc w:val="center"/>
        <w:rPr>
          <w:b/>
          <w:bCs/>
          <w:sz w:val="36"/>
          <w:szCs w:val="36"/>
        </w:rPr>
      </w:pPr>
    </w:p>
    <w:p w14:paraId="6F1C6C83">
      <w:pPr>
        <w:jc w:val="center"/>
        <w:rPr>
          <w:b/>
          <w:bCs/>
          <w:sz w:val="36"/>
          <w:szCs w:val="36"/>
        </w:rPr>
      </w:pPr>
    </w:p>
    <w:p w14:paraId="307BD09B">
      <w:pPr>
        <w:jc w:val="center"/>
        <w:rPr>
          <w:b/>
          <w:bCs/>
          <w:sz w:val="36"/>
          <w:szCs w:val="36"/>
        </w:rPr>
      </w:pPr>
    </w:p>
    <w:p w14:paraId="18FE9D42">
      <w:pPr>
        <w:jc w:val="center"/>
        <w:rPr>
          <w:b/>
          <w:bCs/>
          <w:sz w:val="36"/>
          <w:szCs w:val="36"/>
        </w:rPr>
      </w:pPr>
    </w:p>
    <w:p w14:paraId="7AE3A35F">
      <w:pPr>
        <w:jc w:val="center"/>
        <w:rPr>
          <w:b/>
          <w:bCs/>
          <w:sz w:val="36"/>
          <w:szCs w:val="36"/>
        </w:rPr>
      </w:pPr>
    </w:p>
    <w:p w14:paraId="09FF6EC6">
      <w:pPr>
        <w:jc w:val="center"/>
        <w:rPr>
          <w:b/>
          <w:bCs/>
          <w:sz w:val="36"/>
          <w:szCs w:val="36"/>
        </w:rPr>
      </w:pPr>
    </w:p>
    <w:p w14:paraId="27494DC4">
      <w:pPr>
        <w:jc w:val="center"/>
        <w:rPr>
          <w:b/>
          <w:bCs/>
          <w:sz w:val="36"/>
          <w:szCs w:val="36"/>
        </w:rPr>
      </w:pPr>
    </w:p>
    <w:p w14:paraId="423915A5">
      <w:pPr>
        <w:jc w:val="center"/>
        <w:rPr>
          <w:b/>
          <w:bCs/>
          <w:sz w:val="36"/>
          <w:szCs w:val="36"/>
        </w:rPr>
      </w:pPr>
    </w:p>
    <w:p w14:paraId="230032AF">
      <w:pPr>
        <w:jc w:val="center"/>
        <w:rPr>
          <w:b/>
          <w:bCs/>
          <w:sz w:val="36"/>
          <w:szCs w:val="36"/>
        </w:rPr>
      </w:pPr>
    </w:p>
    <w:p w14:paraId="59A531F3">
      <w:pPr>
        <w:jc w:val="center"/>
        <w:rPr>
          <w:b/>
          <w:bCs/>
          <w:sz w:val="36"/>
          <w:szCs w:val="36"/>
        </w:rPr>
      </w:pPr>
    </w:p>
    <w:p w14:paraId="317A10F8">
      <w:pPr>
        <w:jc w:val="center"/>
        <w:rPr>
          <w:b/>
          <w:bCs/>
          <w:sz w:val="36"/>
          <w:szCs w:val="36"/>
        </w:rPr>
      </w:pPr>
    </w:p>
    <w:p w14:paraId="32E9BDD4">
      <w:pPr>
        <w:jc w:val="center"/>
        <w:rPr>
          <w:b/>
          <w:bCs/>
          <w:sz w:val="36"/>
          <w:szCs w:val="36"/>
        </w:rPr>
      </w:pPr>
      <w:r>
        <w:rPr>
          <w:rFonts w:hint="eastAsia"/>
          <w:b/>
          <w:bCs/>
          <w:sz w:val="36"/>
          <w:szCs w:val="36"/>
        </w:rPr>
        <w:t>第六章</w:t>
      </w:r>
    </w:p>
    <w:p w14:paraId="4C244FA6">
      <w:pPr>
        <w:jc w:val="center"/>
        <w:rPr>
          <w:b/>
          <w:bCs/>
          <w:sz w:val="36"/>
          <w:szCs w:val="36"/>
        </w:rPr>
      </w:pPr>
    </w:p>
    <w:p w14:paraId="281060C8">
      <w:pPr>
        <w:jc w:val="center"/>
        <w:rPr>
          <w:b/>
          <w:bCs/>
          <w:sz w:val="36"/>
          <w:szCs w:val="36"/>
        </w:rPr>
      </w:pPr>
      <w:r>
        <w:rPr>
          <w:rFonts w:hint="eastAsia"/>
          <w:b/>
          <w:bCs/>
          <w:sz w:val="36"/>
          <w:szCs w:val="36"/>
        </w:rPr>
        <w:t>如东水务集团有限公司安保等服务项目</w:t>
      </w:r>
    </w:p>
    <w:p w14:paraId="175DAB74">
      <w:pPr>
        <w:pStyle w:val="10"/>
        <w:snapToGrid w:val="0"/>
        <w:spacing w:line="360" w:lineRule="auto"/>
        <w:ind w:firstLine="4320" w:firstLineChars="1800"/>
        <w:rPr>
          <w:rFonts w:hint="eastAsia" w:ascii="宋体" w:hAnsi="宋体" w:cs="宋体"/>
          <w:color w:val="auto"/>
          <w:szCs w:val="24"/>
          <w:u w:val="single"/>
        </w:rPr>
      </w:pPr>
    </w:p>
    <w:p w14:paraId="7F874FF6">
      <w:pPr>
        <w:keepNext/>
        <w:keepLines/>
        <w:spacing w:before="145" w:after="145" w:line="360" w:lineRule="auto"/>
        <w:ind w:firstLine="498"/>
        <w:jc w:val="center"/>
        <w:outlineLvl w:val="2"/>
        <w:rPr>
          <w:rFonts w:hint="eastAsia" w:ascii="仿宋" w:hAnsi="仿宋" w:eastAsia="仿宋" w:cs="仿宋"/>
          <w:b/>
          <w:bCs/>
          <w:sz w:val="44"/>
          <w:szCs w:val="44"/>
        </w:rPr>
      </w:pPr>
      <w:r>
        <w:rPr>
          <w:rFonts w:hint="eastAsia" w:ascii="仿宋" w:hAnsi="仿宋" w:eastAsia="仿宋" w:cs="仿宋"/>
          <w:b/>
          <w:bCs/>
          <w:sz w:val="44"/>
          <w:szCs w:val="44"/>
        </w:rPr>
        <w:t>采购合同（服务）</w:t>
      </w:r>
    </w:p>
    <w:p w14:paraId="051393DF">
      <w:pPr>
        <w:spacing w:line="560" w:lineRule="exact"/>
        <w:ind w:firstLine="723"/>
        <w:rPr>
          <w:rFonts w:hint="eastAsia" w:ascii="宋体" w:hAnsi="宋体" w:cs="宋体"/>
          <w:b/>
          <w:sz w:val="32"/>
          <w:szCs w:val="32"/>
        </w:rPr>
      </w:pPr>
    </w:p>
    <w:p w14:paraId="5B1C7D18">
      <w:pPr>
        <w:spacing w:line="560" w:lineRule="exact"/>
        <w:ind w:firstLine="723"/>
        <w:rPr>
          <w:rFonts w:hint="eastAsia" w:ascii="宋体" w:hAnsi="宋体" w:cs="宋体"/>
          <w:b/>
          <w:sz w:val="32"/>
          <w:szCs w:val="32"/>
        </w:rPr>
      </w:pPr>
    </w:p>
    <w:p w14:paraId="6EF7EC90">
      <w:pPr>
        <w:spacing w:line="560" w:lineRule="exact"/>
        <w:ind w:firstLine="723"/>
        <w:rPr>
          <w:rFonts w:hint="eastAsia" w:ascii="宋体" w:hAnsi="宋体" w:cs="宋体"/>
          <w:b/>
          <w:sz w:val="32"/>
          <w:szCs w:val="32"/>
        </w:rPr>
      </w:pPr>
    </w:p>
    <w:p w14:paraId="383B5144">
      <w:pPr>
        <w:spacing w:line="560" w:lineRule="exact"/>
        <w:ind w:firstLine="723"/>
        <w:rPr>
          <w:rFonts w:hint="eastAsia" w:ascii="宋体" w:hAnsi="宋体" w:cs="宋体"/>
          <w:b/>
          <w:sz w:val="32"/>
          <w:szCs w:val="32"/>
        </w:rPr>
      </w:pPr>
    </w:p>
    <w:p w14:paraId="56A96868">
      <w:pPr>
        <w:spacing w:line="560" w:lineRule="exact"/>
        <w:rPr>
          <w:rFonts w:hint="eastAsia" w:ascii="宋体" w:hAnsi="宋体" w:cs="宋体"/>
          <w:b/>
          <w:szCs w:val="21"/>
        </w:rPr>
      </w:pPr>
    </w:p>
    <w:p w14:paraId="3C173B4B">
      <w:pPr>
        <w:pStyle w:val="9"/>
      </w:pPr>
    </w:p>
    <w:p w14:paraId="624A7A18">
      <w:pPr>
        <w:spacing w:line="440" w:lineRule="exact"/>
        <w:ind w:firstLine="482" w:firstLineChars="200"/>
        <w:rPr>
          <w:rFonts w:hint="eastAsia" w:ascii="宋体" w:hAnsi="宋体" w:cs="宋体"/>
          <w:b/>
          <w:sz w:val="24"/>
          <w:szCs w:val="24"/>
        </w:rPr>
      </w:pPr>
    </w:p>
    <w:p w14:paraId="5E3AE05B">
      <w:pPr>
        <w:spacing w:before="120" w:after="120" w:line="500" w:lineRule="exact"/>
        <w:rPr>
          <w:rFonts w:hint="eastAsia" w:ascii="仿宋" w:hAnsi="仿宋" w:eastAsia="仿宋" w:cs="仿宋"/>
          <w:sz w:val="24"/>
          <w:szCs w:val="24"/>
        </w:rPr>
      </w:pPr>
    </w:p>
    <w:p w14:paraId="13BDE3A5">
      <w:pPr>
        <w:spacing w:before="120" w:after="120" w:line="500" w:lineRule="exact"/>
        <w:rPr>
          <w:rFonts w:hint="eastAsia" w:ascii="仿宋" w:hAnsi="仿宋" w:eastAsia="仿宋" w:cs="仿宋"/>
          <w:sz w:val="24"/>
          <w:szCs w:val="24"/>
        </w:rPr>
      </w:pPr>
    </w:p>
    <w:p w14:paraId="76D2E996">
      <w:pPr>
        <w:spacing w:before="120" w:after="120" w:line="500" w:lineRule="exact"/>
        <w:rPr>
          <w:rFonts w:hint="eastAsia" w:ascii="仿宋" w:hAnsi="仿宋" w:eastAsia="仿宋" w:cs="仿宋"/>
          <w:sz w:val="24"/>
          <w:szCs w:val="24"/>
        </w:rPr>
      </w:pPr>
    </w:p>
    <w:p w14:paraId="1458059F">
      <w:pPr>
        <w:spacing w:before="120" w:after="120" w:line="500" w:lineRule="exact"/>
        <w:rPr>
          <w:rFonts w:hint="eastAsia" w:ascii="仿宋" w:hAnsi="仿宋" w:eastAsia="仿宋" w:cs="仿宋"/>
          <w:sz w:val="24"/>
          <w:szCs w:val="24"/>
        </w:rPr>
      </w:pPr>
    </w:p>
    <w:p w14:paraId="0FDC6E6B">
      <w:pPr>
        <w:spacing w:before="120" w:after="120" w:line="500" w:lineRule="exact"/>
        <w:rPr>
          <w:rFonts w:hint="eastAsia" w:ascii="仿宋" w:hAnsi="仿宋" w:eastAsia="仿宋" w:cs="仿宋"/>
          <w:sz w:val="24"/>
          <w:szCs w:val="24"/>
        </w:rPr>
      </w:pPr>
    </w:p>
    <w:p w14:paraId="1684C78E">
      <w:pPr>
        <w:spacing w:before="120" w:after="120" w:line="500" w:lineRule="exact"/>
        <w:rPr>
          <w:rFonts w:hint="eastAsia" w:ascii="仿宋" w:hAnsi="仿宋" w:eastAsia="仿宋" w:cs="仿宋"/>
          <w:sz w:val="24"/>
          <w:szCs w:val="24"/>
        </w:rPr>
      </w:pPr>
    </w:p>
    <w:p w14:paraId="7EE84D67">
      <w:pPr>
        <w:spacing w:before="120" w:after="120" w:line="500" w:lineRule="exact"/>
        <w:rPr>
          <w:rFonts w:hint="eastAsia" w:ascii="仿宋" w:hAnsi="仿宋" w:eastAsia="仿宋" w:cs="仿宋"/>
          <w:sz w:val="24"/>
          <w:szCs w:val="24"/>
        </w:rPr>
      </w:pPr>
    </w:p>
    <w:p w14:paraId="30EE58D0">
      <w:pPr>
        <w:spacing w:before="120" w:after="120" w:line="400" w:lineRule="exact"/>
        <w:ind w:firstLine="480" w:firstLineChars="200"/>
        <w:rPr>
          <w:rFonts w:hint="eastAsia" w:ascii="宋体" w:hAnsi="宋体" w:cs="宋体"/>
          <w:sz w:val="24"/>
          <w:szCs w:val="24"/>
        </w:rPr>
      </w:pPr>
    </w:p>
    <w:p w14:paraId="42D1E8B9">
      <w:pPr>
        <w:spacing w:before="120" w:after="120" w:line="400" w:lineRule="exact"/>
        <w:ind w:firstLine="480" w:firstLineChars="200"/>
        <w:rPr>
          <w:rFonts w:hint="eastAsia" w:ascii="宋体" w:hAnsi="宋体" w:cs="宋体"/>
          <w:sz w:val="24"/>
          <w:szCs w:val="24"/>
        </w:rPr>
      </w:pPr>
    </w:p>
    <w:p w14:paraId="09D9CDCA">
      <w:pPr>
        <w:spacing w:before="120" w:after="120" w:line="400" w:lineRule="exact"/>
        <w:ind w:firstLine="480" w:firstLineChars="200"/>
        <w:rPr>
          <w:rFonts w:hint="eastAsia" w:ascii="宋体" w:hAnsi="宋体" w:cs="宋体"/>
          <w:sz w:val="24"/>
          <w:szCs w:val="24"/>
        </w:rPr>
      </w:pPr>
    </w:p>
    <w:p w14:paraId="03B863ED">
      <w:pPr>
        <w:spacing w:before="120" w:after="120" w:line="400" w:lineRule="exact"/>
        <w:ind w:firstLine="480" w:firstLineChars="200"/>
        <w:rPr>
          <w:rFonts w:hint="eastAsia" w:ascii="宋体" w:hAnsi="宋体" w:cs="宋体"/>
          <w:sz w:val="24"/>
          <w:szCs w:val="24"/>
        </w:rPr>
      </w:pPr>
    </w:p>
    <w:p w14:paraId="53DE2EA6">
      <w:pPr>
        <w:spacing w:before="120" w:after="120" w:line="400" w:lineRule="exact"/>
        <w:rPr>
          <w:rFonts w:hint="eastAsia" w:ascii="宋体" w:hAnsi="宋体" w:cs="宋体"/>
          <w:sz w:val="24"/>
          <w:szCs w:val="24"/>
        </w:rPr>
      </w:pPr>
    </w:p>
    <w:p w14:paraId="4D3BA1D8">
      <w:pPr>
        <w:keepNext w:val="0"/>
        <w:keepLines w:val="0"/>
        <w:pageBreakBefore w:val="0"/>
        <w:widowControl w:val="0"/>
        <w:kinsoku/>
        <w:wordWrap/>
        <w:overflowPunct/>
        <w:topLinePunct w:val="0"/>
        <w:autoSpaceDE/>
        <w:autoSpaceDN/>
        <w:bidi w:val="0"/>
        <w:adjustRightInd/>
        <w:snapToGrid/>
        <w:spacing w:before="120" w:after="120" w:line="400" w:lineRule="exact"/>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甲方（</w:t>
      </w:r>
      <w:r>
        <w:rPr>
          <w:rFonts w:hint="eastAsia" w:ascii="宋体" w:hAnsi="宋体" w:eastAsia="宋体" w:cs="宋体"/>
          <w:sz w:val="24"/>
          <w:szCs w:val="24"/>
          <w:lang w:val="en-US" w:eastAsia="zh-CN"/>
        </w:rPr>
        <w:t>委托方</w:t>
      </w:r>
      <w:r>
        <w:rPr>
          <w:rFonts w:hint="eastAsia" w:ascii="宋体" w:hAnsi="宋体" w:eastAsia="宋体" w:cs="宋体"/>
          <w:sz w:val="24"/>
          <w:szCs w:val="24"/>
        </w:rPr>
        <w:t>）：</w:t>
      </w:r>
      <w:r>
        <w:rPr>
          <w:rFonts w:hint="eastAsia" w:ascii="宋体" w:hAnsi="宋体" w:eastAsia="宋体" w:cs="宋体"/>
          <w:sz w:val="24"/>
          <w:szCs w:val="24"/>
          <w:u w:val="single"/>
        </w:rPr>
        <w:t>如东</w:t>
      </w:r>
      <w:r>
        <w:rPr>
          <w:rFonts w:hint="eastAsia" w:ascii="宋体" w:hAnsi="宋体" w:eastAsia="宋体" w:cs="宋体"/>
          <w:sz w:val="24"/>
          <w:szCs w:val="24"/>
          <w:u w:val="single"/>
          <w:lang w:val="en-US" w:eastAsia="zh-CN"/>
        </w:rPr>
        <w:t>水务集团有限公司</w:t>
      </w:r>
    </w:p>
    <w:p w14:paraId="09A8A458">
      <w:pPr>
        <w:keepNext w:val="0"/>
        <w:keepLines w:val="0"/>
        <w:pageBreakBefore w:val="0"/>
        <w:widowControl w:val="0"/>
        <w:kinsoku/>
        <w:wordWrap/>
        <w:overflowPunct/>
        <w:topLinePunct w:val="0"/>
        <w:autoSpaceDE/>
        <w:autoSpaceDN/>
        <w:bidi w:val="0"/>
        <w:adjustRightInd/>
        <w:snapToGrid/>
        <w:spacing w:before="120" w:after="120" w:line="400" w:lineRule="exact"/>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乙方（</w:t>
      </w:r>
      <w:r>
        <w:rPr>
          <w:rFonts w:hint="eastAsia" w:ascii="宋体" w:hAnsi="宋体" w:eastAsia="宋体" w:cs="宋体"/>
          <w:sz w:val="24"/>
          <w:szCs w:val="24"/>
          <w:lang w:val="en-US" w:eastAsia="zh-CN"/>
        </w:rPr>
        <w:t>服务方</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14:paraId="5BFF01AD">
      <w:pPr>
        <w:keepNext w:val="0"/>
        <w:keepLines w:val="0"/>
        <w:pageBreakBefore w:val="0"/>
        <w:widowControl w:val="0"/>
        <w:kinsoku/>
        <w:wordWrap/>
        <w:overflowPunct/>
        <w:topLinePunct w:val="0"/>
        <w:autoSpaceDE/>
        <w:autoSpaceDN/>
        <w:bidi w:val="0"/>
        <w:adjustRightInd/>
        <w:snapToGrid/>
        <w:spacing w:before="120" w:after="120"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 xml:space="preserve">依据《中华人民共和国民法典》、《中华人民共和国政府采购法》等有关的法律法规，以及本采购项目的采购文件、乙方的《响应文件》及《成交通知书》，甲乙双方同意签订本合同。具体情况及要求如下： </w:t>
      </w:r>
    </w:p>
    <w:p w14:paraId="03495C26">
      <w:pPr>
        <w:keepNext w:val="0"/>
        <w:keepLines w:val="0"/>
        <w:pageBreakBefore w:val="0"/>
        <w:widowControl w:val="0"/>
        <w:kinsoku/>
        <w:wordWrap/>
        <w:overflowPunct/>
        <w:topLinePunct w:val="0"/>
        <w:autoSpaceDE/>
        <w:autoSpaceDN/>
        <w:bidi w:val="0"/>
        <w:adjustRightInd/>
        <w:snapToGrid/>
        <w:spacing w:before="120" w:after="120" w:line="400" w:lineRule="exact"/>
        <w:ind w:firstLine="420" w:firstLineChars="200"/>
        <w:textAlignment w:val="auto"/>
        <w:rPr>
          <w:rFonts w:hint="eastAsia" w:ascii="宋体" w:hAnsi="宋体" w:eastAsia="宋体" w:cs="宋体"/>
          <w:b/>
          <w:sz w:val="28"/>
          <w:szCs w:val="28"/>
        </w:rPr>
      </w:pPr>
      <w:r>
        <w:rPr>
          <w:rFonts w:hint="eastAsia" w:ascii="宋体" w:hAnsi="宋体" w:eastAsia="宋体" w:cs="宋体"/>
          <w:szCs w:val="21"/>
        </w:rPr>
        <w:t xml:space="preserve"> </w:t>
      </w:r>
      <w:r>
        <w:rPr>
          <w:rFonts w:hint="eastAsia" w:ascii="宋体" w:hAnsi="宋体" w:eastAsia="宋体" w:cs="宋体"/>
          <w:b/>
          <w:sz w:val="28"/>
          <w:szCs w:val="28"/>
        </w:rPr>
        <w:t>一、合同内容</w:t>
      </w:r>
    </w:p>
    <w:p w14:paraId="39970BB6">
      <w:pPr>
        <w:keepNext w:val="0"/>
        <w:keepLines w:val="0"/>
        <w:pageBreakBefore w:val="0"/>
        <w:widowControl w:val="0"/>
        <w:kinsoku/>
        <w:wordWrap/>
        <w:overflowPunct/>
        <w:topLinePunct w:val="0"/>
        <w:autoSpaceDE/>
        <w:autoSpaceDN/>
        <w:bidi w:val="0"/>
        <w:adjustRightInd/>
        <w:snapToGrid/>
        <w:spacing w:before="120" w:after="12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标的名称：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1F8E5EBA">
      <w:pPr>
        <w:keepNext w:val="0"/>
        <w:keepLines w:val="0"/>
        <w:pageBreakBefore w:val="0"/>
        <w:widowControl w:val="0"/>
        <w:kinsoku/>
        <w:wordWrap/>
        <w:overflowPunct/>
        <w:topLinePunct w:val="0"/>
        <w:autoSpaceDE/>
        <w:autoSpaceDN/>
        <w:bidi w:val="0"/>
        <w:adjustRightInd/>
        <w:snapToGrid/>
        <w:spacing w:before="120" w:after="120" w:line="4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1.2 标的质量：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CDC5EBD">
      <w:pPr>
        <w:keepNext w:val="0"/>
        <w:keepLines w:val="0"/>
        <w:pageBreakBefore w:val="0"/>
        <w:widowControl w:val="0"/>
        <w:kinsoku/>
        <w:wordWrap/>
        <w:overflowPunct/>
        <w:topLinePunct w:val="0"/>
        <w:autoSpaceDE/>
        <w:autoSpaceDN/>
        <w:bidi w:val="0"/>
        <w:adjustRightInd/>
        <w:snapToGrid/>
        <w:spacing w:before="120" w:after="12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 标的数量（规模）：</w:t>
      </w:r>
      <w:r>
        <w:rPr>
          <w:rFonts w:hint="eastAsia" w:ascii="宋体" w:hAnsi="宋体" w:eastAsia="宋体" w:cs="宋体"/>
          <w:sz w:val="24"/>
          <w:szCs w:val="24"/>
          <w:u w:val="single"/>
        </w:rPr>
        <w:t>一年期</w:t>
      </w:r>
      <w:r>
        <w:rPr>
          <w:rFonts w:hint="eastAsia" w:ascii="宋体" w:hAnsi="宋体" w:cs="宋体"/>
          <w:sz w:val="24"/>
          <w:szCs w:val="24"/>
          <w:u w:val="single"/>
          <w:lang w:val="en-US" w:eastAsia="zh-CN"/>
        </w:rPr>
        <w:t>安保等</w:t>
      </w:r>
      <w:r>
        <w:rPr>
          <w:rFonts w:hint="eastAsia" w:ascii="宋体" w:hAnsi="宋体" w:eastAsia="宋体" w:cs="宋体"/>
          <w:sz w:val="24"/>
          <w:szCs w:val="24"/>
          <w:u w:val="single"/>
        </w:rPr>
        <w:t>服务。</w:t>
      </w:r>
    </w:p>
    <w:p w14:paraId="2A440F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 履行时间（期限）：</w:t>
      </w:r>
      <w:r>
        <w:rPr>
          <w:rFonts w:hint="eastAsia" w:ascii="宋体" w:hAnsi="宋体" w:eastAsia="宋体" w:cs="宋体"/>
          <w:sz w:val="24"/>
          <w:szCs w:val="24"/>
          <w:u w:val="single"/>
        </w:rPr>
        <w:t>自合同签订之日起</w:t>
      </w:r>
      <w:r>
        <w:rPr>
          <w:rFonts w:hint="eastAsia" w:ascii="宋体" w:hAnsi="宋体" w:eastAsia="宋体" w:cs="宋体"/>
          <w:sz w:val="24"/>
          <w:szCs w:val="24"/>
          <w:u w:val="single"/>
          <w:lang w:val="en-US" w:eastAsia="zh-CN"/>
        </w:rPr>
        <w:t>一</w:t>
      </w:r>
      <w:r>
        <w:rPr>
          <w:rFonts w:hint="eastAsia" w:ascii="宋体" w:hAnsi="宋体" w:eastAsia="宋体" w:cs="宋体"/>
          <w:sz w:val="24"/>
          <w:szCs w:val="24"/>
          <w:u w:val="single"/>
        </w:rPr>
        <w:t>年</w:t>
      </w:r>
    </w:p>
    <w:p w14:paraId="6F17D224">
      <w:pPr>
        <w:keepNext w:val="0"/>
        <w:keepLines w:val="0"/>
        <w:pageBreakBefore w:val="0"/>
        <w:widowControl w:val="0"/>
        <w:kinsoku/>
        <w:wordWrap/>
        <w:overflowPunct/>
        <w:topLinePunct w:val="0"/>
        <w:autoSpaceDE/>
        <w:autoSpaceDN/>
        <w:bidi w:val="0"/>
        <w:adjustRightInd/>
        <w:snapToGrid/>
        <w:spacing w:before="120" w:after="12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 履行地点：</w:t>
      </w:r>
      <w:r>
        <w:rPr>
          <w:rFonts w:hint="eastAsia" w:ascii="宋体" w:hAnsi="宋体" w:eastAsia="宋体" w:cs="宋体"/>
          <w:sz w:val="24"/>
          <w:szCs w:val="24"/>
          <w:u w:val="single"/>
          <w:lang w:val="en-US" w:eastAsia="zh-CN"/>
        </w:rPr>
        <w:t>甲方指定地点。</w:t>
      </w:r>
      <w:r>
        <w:rPr>
          <w:rFonts w:hint="eastAsia" w:ascii="宋体" w:hAnsi="宋体" w:eastAsia="宋体" w:cs="宋体"/>
          <w:sz w:val="24"/>
          <w:szCs w:val="24"/>
          <w:u w:val="single"/>
        </w:rPr>
        <w:t xml:space="preserve"> </w:t>
      </w:r>
    </w:p>
    <w:p w14:paraId="04B143D4">
      <w:pPr>
        <w:keepNext w:val="0"/>
        <w:keepLines w:val="0"/>
        <w:pageBreakBefore w:val="0"/>
        <w:widowControl w:val="0"/>
        <w:kinsoku/>
        <w:wordWrap/>
        <w:overflowPunct/>
        <w:topLinePunct w:val="0"/>
        <w:autoSpaceDE/>
        <w:autoSpaceDN/>
        <w:bidi w:val="0"/>
        <w:adjustRightInd/>
        <w:snapToGrid/>
        <w:spacing w:before="120" w:after="120" w:line="40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二、合同金额</w:t>
      </w:r>
    </w:p>
    <w:p w14:paraId="1D911D6A">
      <w:pPr>
        <w:keepNext w:val="0"/>
        <w:keepLines w:val="0"/>
        <w:pageBreakBefore w:val="0"/>
        <w:widowControl w:val="0"/>
        <w:kinsoku/>
        <w:wordWrap/>
        <w:overflowPunct/>
        <w:topLinePunct w:val="0"/>
        <w:autoSpaceDE/>
        <w:autoSpaceDN/>
        <w:bidi w:val="0"/>
        <w:adjustRightInd/>
        <w:snapToGrid/>
        <w:spacing w:before="120" w:after="120" w:line="400" w:lineRule="exact"/>
        <w:ind w:left="41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2.1 本合同金额为（大写）：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r>
        <w:rPr>
          <w:rFonts w:hint="eastAsia" w:ascii="宋体" w:hAnsi="宋体" w:eastAsia="宋体" w:cs="宋体"/>
          <w:color w:val="auto"/>
          <w:sz w:val="24"/>
          <w:szCs w:val="24"/>
          <w:highlight w:val="none"/>
        </w:rPr>
        <w:t>）人民币。</w:t>
      </w:r>
    </w:p>
    <w:p w14:paraId="26673BCD">
      <w:pPr>
        <w:keepNext w:val="0"/>
        <w:keepLines w:val="0"/>
        <w:pageBreakBefore w:val="0"/>
        <w:widowControl w:val="0"/>
        <w:kinsoku/>
        <w:wordWrap/>
        <w:overflowPunct/>
        <w:topLinePunct w:val="0"/>
        <w:autoSpaceDE/>
        <w:autoSpaceDN/>
        <w:bidi w:val="0"/>
        <w:adjustRightInd/>
        <w:snapToGrid/>
        <w:spacing w:before="120" w:after="120" w:line="40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三、技术资料</w:t>
      </w:r>
    </w:p>
    <w:p w14:paraId="3F88D6CC">
      <w:pPr>
        <w:keepNext w:val="0"/>
        <w:keepLines w:val="0"/>
        <w:pageBreakBefore w:val="0"/>
        <w:widowControl w:val="0"/>
        <w:kinsoku/>
        <w:wordWrap/>
        <w:overflowPunct/>
        <w:topLinePunct w:val="0"/>
        <w:autoSpaceDE/>
        <w:autoSpaceDN/>
        <w:bidi w:val="0"/>
        <w:adjustRightInd/>
        <w:snapToGrid/>
        <w:spacing w:before="120" w:after="120" w:line="400" w:lineRule="exact"/>
        <w:ind w:left="4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3.1乙方应按</w:t>
      </w:r>
      <w:r>
        <w:rPr>
          <w:rFonts w:hint="eastAsia" w:ascii="宋体" w:hAnsi="宋体" w:eastAsia="宋体" w:cs="宋体"/>
          <w:sz w:val="24"/>
          <w:szCs w:val="24"/>
          <w:lang w:val="en-US" w:eastAsia="zh-CN"/>
        </w:rPr>
        <w:t>招标</w:t>
      </w:r>
      <w:r>
        <w:rPr>
          <w:rFonts w:hint="eastAsia" w:ascii="宋体" w:hAnsi="宋体" w:eastAsia="宋体" w:cs="宋体"/>
          <w:sz w:val="24"/>
          <w:szCs w:val="24"/>
        </w:rPr>
        <w:t>文件规定的时间向甲方提供与合同标的有关的技术资料。</w:t>
      </w:r>
    </w:p>
    <w:p w14:paraId="6CA2852F">
      <w:pPr>
        <w:keepNext w:val="0"/>
        <w:keepLines w:val="0"/>
        <w:pageBreakBefore w:val="0"/>
        <w:widowControl w:val="0"/>
        <w:kinsoku/>
        <w:wordWrap/>
        <w:overflowPunct/>
        <w:topLinePunct w:val="0"/>
        <w:autoSpaceDE/>
        <w:autoSpaceDN/>
        <w:bidi w:val="0"/>
        <w:adjustRightInd/>
        <w:snapToGrid/>
        <w:spacing w:before="120" w:after="120" w:line="400" w:lineRule="exact"/>
        <w:ind w:left="41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lang w:val="en-US" w:eastAsia="zh-CN"/>
        </w:rPr>
        <w:t>未经</w:t>
      </w:r>
      <w:r>
        <w:rPr>
          <w:rFonts w:hint="eastAsia" w:ascii="宋体" w:hAnsi="宋体" w:eastAsia="宋体" w:cs="宋体"/>
          <w:sz w:val="24"/>
          <w:szCs w:val="24"/>
        </w:rPr>
        <w:t>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537F144">
      <w:pPr>
        <w:keepNext w:val="0"/>
        <w:keepLines w:val="0"/>
        <w:pageBreakBefore w:val="0"/>
        <w:widowControl w:val="0"/>
        <w:kinsoku/>
        <w:wordWrap/>
        <w:overflowPunct/>
        <w:topLinePunct w:val="0"/>
        <w:autoSpaceDE/>
        <w:autoSpaceDN/>
        <w:bidi w:val="0"/>
        <w:adjustRightInd/>
        <w:snapToGrid/>
        <w:spacing w:before="120" w:after="120" w:line="40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四、知识产权</w:t>
      </w:r>
    </w:p>
    <w:p w14:paraId="6F36D1B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4.1乙方应保证甲方在使用、接受本合同标的或其任何一部分时不受第三方提出侵犯其专利权、版权、商标权和工业设计权等知识产权的起诉。一旦出现侵权，由乙方负全部责任。</w:t>
      </w:r>
    </w:p>
    <w:p w14:paraId="34DD218A">
      <w:pPr>
        <w:keepNext w:val="0"/>
        <w:keepLines w:val="0"/>
        <w:pageBreakBefore w:val="0"/>
        <w:widowControl w:val="0"/>
        <w:kinsoku/>
        <w:wordWrap/>
        <w:overflowPunct/>
        <w:topLinePunct w:val="0"/>
        <w:autoSpaceDE/>
        <w:autoSpaceDN/>
        <w:bidi w:val="0"/>
        <w:adjustRightInd/>
        <w:snapToGrid/>
        <w:spacing w:before="120" w:after="120" w:line="40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五、产权担保</w:t>
      </w:r>
    </w:p>
    <w:p w14:paraId="1F89F7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乙方保证所交付的合同标的的所有权完全属于乙方且无任何抵押、查封等产权瑕疵。</w:t>
      </w:r>
    </w:p>
    <w:p w14:paraId="11BB91F7">
      <w:pPr>
        <w:keepNext w:val="0"/>
        <w:keepLines w:val="0"/>
        <w:pageBreakBefore w:val="0"/>
        <w:widowControl w:val="0"/>
        <w:kinsoku/>
        <w:wordWrap/>
        <w:overflowPunct/>
        <w:topLinePunct w:val="0"/>
        <w:autoSpaceDE/>
        <w:autoSpaceDN/>
        <w:bidi w:val="0"/>
        <w:adjustRightInd/>
        <w:snapToGrid/>
        <w:spacing w:before="120" w:after="120" w:line="40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六、履约保证金</w:t>
      </w:r>
    </w:p>
    <w:p w14:paraId="728674C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 乙方交纳人民币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万</w:t>
      </w:r>
      <w:r>
        <w:rPr>
          <w:rFonts w:hint="eastAsia" w:ascii="宋体" w:hAnsi="宋体" w:eastAsia="宋体" w:cs="宋体"/>
          <w:sz w:val="24"/>
          <w:szCs w:val="24"/>
        </w:rPr>
        <w:t>元作为本合同的履约保证金。</w:t>
      </w:r>
    </w:p>
    <w:p w14:paraId="0C4E779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6.2合同履行结束后，甲方应及时退还交纳的履约保证金。</w:t>
      </w:r>
    </w:p>
    <w:p w14:paraId="609454C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6.2.1履约保证金退还方式：</w:t>
      </w:r>
      <w:r>
        <w:rPr>
          <w:rFonts w:hint="eastAsia" w:ascii="宋体" w:hAnsi="宋体" w:eastAsia="宋体" w:cs="宋体"/>
          <w:sz w:val="24"/>
          <w:szCs w:val="24"/>
          <w:u w:val="single"/>
        </w:rPr>
        <w:t>转账</w:t>
      </w:r>
      <w:r>
        <w:rPr>
          <w:rFonts w:hint="eastAsia" w:ascii="宋体" w:hAnsi="宋体" w:eastAsia="宋体" w:cs="宋体"/>
          <w:sz w:val="24"/>
          <w:szCs w:val="24"/>
          <w:u w:val="single"/>
          <w:lang w:val="en-US" w:eastAsia="zh-CN"/>
        </w:rPr>
        <w:t>或其他方式</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D5A8EC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6.2.2履约保证金退还时间</w:t>
      </w:r>
      <w:r>
        <w:rPr>
          <w:rFonts w:hint="eastAsia" w:ascii="宋体" w:hAnsi="宋体" w:eastAsia="宋体" w:cs="宋体"/>
          <w:sz w:val="24"/>
          <w:szCs w:val="24"/>
          <w:lang w:val="en-US" w:eastAsia="zh-CN"/>
        </w:rPr>
        <w:t>及退还条件</w:t>
      </w:r>
      <w:r>
        <w:rPr>
          <w:rFonts w:hint="eastAsia" w:ascii="宋体" w:hAnsi="宋体" w:eastAsia="宋体" w:cs="宋体"/>
          <w:sz w:val="24"/>
          <w:szCs w:val="24"/>
        </w:rPr>
        <w:t>：</w:t>
      </w:r>
      <w:r>
        <w:rPr>
          <w:rFonts w:hint="eastAsia" w:ascii="宋体" w:hAnsi="宋体" w:eastAsia="宋体" w:cs="宋体"/>
          <w:sz w:val="24"/>
          <w:szCs w:val="24"/>
          <w:u w:val="single"/>
        </w:rPr>
        <w:t>项目服务期结束后，</w:t>
      </w:r>
      <w:r>
        <w:rPr>
          <w:rFonts w:hint="eastAsia" w:ascii="宋体" w:hAnsi="宋体" w:eastAsia="宋体" w:cs="宋体"/>
          <w:sz w:val="24"/>
          <w:szCs w:val="24"/>
          <w:u w:val="single"/>
          <w:lang w:val="en-US" w:eastAsia="zh-CN"/>
        </w:rPr>
        <w:t>乙方</w:t>
      </w:r>
      <w:r>
        <w:rPr>
          <w:rFonts w:hint="eastAsia" w:ascii="宋体" w:hAnsi="宋体" w:eastAsia="宋体" w:cs="宋体"/>
          <w:sz w:val="24"/>
          <w:szCs w:val="24"/>
          <w:u w:val="single"/>
        </w:rPr>
        <w:t>凭</w:t>
      </w:r>
      <w:r>
        <w:rPr>
          <w:rFonts w:hint="eastAsia" w:ascii="宋体" w:hAnsi="宋体" w:eastAsia="宋体" w:cs="宋体"/>
          <w:sz w:val="24"/>
          <w:szCs w:val="24"/>
          <w:u w:val="single"/>
          <w:lang w:val="en-US" w:eastAsia="zh-CN"/>
        </w:rPr>
        <w:t>甲方</w:t>
      </w:r>
      <w:r>
        <w:rPr>
          <w:rFonts w:hint="eastAsia" w:ascii="宋体" w:hAnsi="宋体" w:eastAsia="宋体" w:cs="宋体"/>
          <w:sz w:val="24"/>
          <w:szCs w:val="24"/>
          <w:u w:val="single"/>
        </w:rPr>
        <w:t>签署的同意退还履约保证金的证明（证明格式自定,加盖</w:t>
      </w:r>
      <w:r>
        <w:rPr>
          <w:rFonts w:hint="eastAsia" w:ascii="宋体" w:hAnsi="宋体" w:cs="宋体"/>
          <w:sz w:val="24"/>
          <w:szCs w:val="24"/>
          <w:u w:val="single"/>
          <w:lang w:val="en-US" w:eastAsia="zh-CN"/>
        </w:rPr>
        <w:t>甲方</w:t>
      </w:r>
      <w:r>
        <w:rPr>
          <w:rFonts w:hint="eastAsia" w:ascii="宋体" w:hAnsi="宋体" w:eastAsia="宋体" w:cs="宋体"/>
          <w:sz w:val="24"/>
          <w:szCs w:val="24"/>
          <w:u w:val="single"/>
        </w:rPr>
        <w:t xml:space="preserve">公章）、履约保证金收条原件，办理保证金退还手续，履约保证金予以全额退还  </w:t>
      </w:r>
      <w:r>
        <w:rPr>
          <w:rFonts w:hint="eastAsia" w:ascii="宋体" w:hAnsi="宋体" w:eastAsia="宋体" w:cs="宋体"/>
          <w:sz w:val="24"/>
          <w:szCs w:val="24"/>
          <w:u w:val="single"/>
          <w:lang w:eastAsia="zh-CN"/>
        </w:rPr>
        <w:t>。</w:t>
      </w:r>
    </w:p>
    <w:p w14:paraId="737AEE7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6.2.4发生以下情况的，履约保证金不予退还或部分退还：</w:t>
      </w:r>
    </w:p>
    <w:p w14:paraId="238604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6.2.4.1 签订合同后，乙方不履行合同义务的，甲方有权全额扣除履约保证金，全额不予退还，同时甲方亦有权终止合同，乙方还须承担相应的赔偿责任。</w:t>
      </w:r>
    </w:p>
    <w:p w14:paraId="2ECAE60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6.2.4.2 乙方在履约过程中发生违约行为，给甲方造成损失的，甲方有权在乙方缴纳的履约保证金中予以扣款，以弥补甲方经济损失，不足的部分乙方另外补齐。</w:t>
      </w:r>
    </w:p>
    <w:p w14:paraId="30326AD2">
      <w:pPr>
        <w:keepNext w:val="0"/>
        <w:keepLines w:val="0"/>
        <w:pageBreakBefore w:val="0"/>
        <w:widowControl w:val="0"/>
        <w:kinsoku/>
        <w:wordWrap/>
        <w:overflowPunct/>
        <w:topLinePunct w:val="0"/>
        <w:autoSpaceDE/>
        <w:autoSpaceDN/>
        <w:bidi w:val="0"/>
        <w:adjustRightInd/>
        <w:snapToGrid/>
        <w:spacing w:before="120" w:after="120" w:line="40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七、合同转包或分包</w:t>
      </w:r>
    </w:p>
    <w:p w14:paraId="68669DC4">
      <w:pPr>
        <w:keepNext w:val="0"/>
        <w:keepLines w:val="0"/>
        <w:pageBreakBefore w:val="0"/>
        <w:widowControl w:val="0"/>
        <w:kinsoku/>
        <w:wordWrap/>
        <w:overflowPunct/>
        <w:topLinePunct w:val="0"/>
        <w:autoSpaceDE/>
        <w:autoSpaceDN/>
        <w:bidi w:val="0"/>
        <w:adjustRightInd/>
        <w:snapToGrid/>
        <w:spacing w:before="145" w:after="145"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7.1乙方不得将合同标的转包给他人履行。</w:t>
      </w:r>
    </w:p>
    <w:p w14:paraId="4B71AE4D">
      <w:pPr>
        <w:keepNext w:val="0"/>
        <w:keepLines w:val="0"/>
        <w:pageBreakBefore w:val="0"/>
        <w:widowControl w:val="0"/>
        <w:kinsoku/>
        <w:wordWrap/>
        <w:overflowPunct/>
        <w:topLinePunct w:val="0"/>
        <w:autoSpaceDE/>
        <w:autoSpaceDN/>
        <w:bidi w:val="0"/>
        <w:adjustRightInd/>
        <w:snapToGrid/>
        <w:spacing w:before="145" w:after="145"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7.2乙方不得将合同标的分包给他人履行。</w:t>
      </w:r>
    </w:p>
    <w:p w14:paraId="32F8D263">
      <w:pPr>
        <w:keepNext w:val="0"/>
        <w:keepLines w:val="0"/>
        <w:pageBreakBefore w:val="0"/>
        <w:widowControl w:val="0"/>
        <w:kinsoku/>
        <w:wordWrap/>
        <w:overflowPunct/>
        <w:topLinePunct w:val="0"/>
        <w:autoSpaceDE/>
        <w:autoSpaceDN/>
        <w:bidi w:val="0"/>
        <w:adjustRightInd/>
        <w:snapToGrid/>
        <w:spacing w:before="145" w:after="145"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7.3乙方如有转包或分包行为，甲方有权解除合同。</w:t>
      </w:r>
    </w:p>
    <w:p w14:paraId="010DACB7">
      <w:pPr>
        <w:keepNext w:val="0"/>
        <w:keepLines w:val="0"/>
        <w:pageBreakBefore w:val="0"/>
        <w:widowControl w:val="0"/>
        <w:kinsoku/>
        <w:wordWrap/>
        <w:overflowPunct/>
        <w:topLinePunct w:val="0"/>
        <w:autoSpaceDE/>
        <w:autoSpaceDN/>
        <w:bidi w:val="0"/>
        <w:adjustRightInd/>
        <w:snapToGrid/>
        <w:spacing w:before="120" w:after="120" w:line="40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八、合同款项支付</w:t>
      </w:r>
    </w:p>
    <w:p w14:paraId="4308BB94">
      <w:pPr>
        <w:keepNext w:val="0"/>
        <w:keepLines w:val="0"/>
        <w:pageBreakBefore w:val="0"/>
        <w:widowControl w:val="0"/>
        <w:kinsoku/>
        <w:wordWrap/>
        <w:overflowPunct/>
        <w:topLinePunct w:val="0"/>
        <w:autoSpaceDE/>
        <w:autoSpaceDN/>
        <w:bidi w:val="0"/>
        <w:adjustRightInd/>
        <w:snapToGrid/>
        <w:spacing w:before="120" w:after="120"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8.1合同款项的支付方式及进度安排</w:t>
      </w:r>
    </w:p>
    <w:p w14:paraId="3AABABBF">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8.1.1</w:t>
      </w:r>
      <w:r>
        <w:rPr>
          <w:rFonts w:hint="eastAsia" w:ascii="宋体" w:hAnsi="宋体" w:eastAsia="宋体" w:cs="宋体"/>
          <w:sz w:val="24"/>
          <w:szCs w:val="24"/>
        </w:rPr>
        <w:t>根据双方签订的合同要求及每月的服务完成情况，并经考核合格后，每季度支付上一季度的服务费用。</w:t>
      </w:r>
    </w:p>
    <w:p w14:paraId="7F39AF00">
      <w:pPr>
        <w:pStyle w:val="14"/>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sz w:val="28"/>
          <w:szCs w:val="28"/>
        </w:rPr>
      </w:pPr>
      <w:r>
        <w:rPr>
          <w:rFonts w:hint="eastAsia" w:ascii="宋体" w:hAnsi="宋体" w:eastAsia="宋体" w:cs="宋体"/>
          <w:b/>
          <w:sz w:val="24"/>
          <w:szCs w:val="24"/>
        </w:rPr>
        <w:t>注：</w:t>
      </w:r>
      <w:r>
        <w:rPr>
          <w:rFonts w:hint="eastAsia" w:ascii="宋体" w:hAnsi="宋体" w:eastAsia="宋体" w:cs="宋体"/>
          <w:b/>
          <w:sz w:val="24"/>
          <w:szCs w:val="24"/>
          <w:lang w:val="en-US" w:eastAsia="zh-CN"/>
        </w:rPr>
        <w:t>乙方</w:t>
      </w:r>
      <w:r>
        <w:rPr>
          <w:rFonts w:hint="eastAsia" w:ascii="宋体" w:hAnsi="宋体" w:eastAsia="宋体" w:cs="宋体"/>
          <w:b/>
          <w:sz w:val="24"/>
          <w:szCs w:val="24"/>
        </w:rPr>
        <w:t>每次申请付款时须出具书面付款申请，同时提供</w:t>
      </w:r>
      <w:r>
        <w:rPr>
          <w:rFonts w:hint="eastAsia" w:ascii="宋体" w:hAnsi="宋体" w:eastAsia="宋体" w:cs="宋体"/>
          <w:b/>
          <w:color w:val="C00000"/>
          <w:sz w:val="24"/>
          <w:szCs w:val="24"/>
        </w:rPr>
        <w:t>现行税率（</w:t>
      </w:r>
      <w:r>
        <w:rPr>
          <w:rFonts w:hint="eastAsia" w:hAnsi="宋体" w:cs="宋体"/>
          <w:b/>
          <w:color w:val="C00000"/>
          <w:sz w:val="24"/>
          <w:szCs w:val="24"/>
          <w:lang w:val="en-US" w:eastAsia="zh-CN"/>
        </w:rPr>
        <w:t>6</w:t>
      </w:r>
      <w:r>
        <w:rPr>
          <w:rFonts w:hint="eastAsia" w:ascii="宋体" w:hAnsi="宋体" w:eastAsia="宋体" w:cs="宋体"/>
          <w:b/>
          <w:color w:val="C00000"/>
          <w:sz w:val="24"/>
          <w:szCs w:val="24"/>
        </w:rPr>
        <w:t>%</w:t>
      </w:r>
      <w:r>
        <w:rPr>
          <w:rFonts w:hint="eastAsia" w:ascii="宋体" w:hAnsi="宋体" w:eastAsia="宋体" w:cs="宋体"/>
          <w:b/>
          <w:sz w:val="24"/>
          <w:szCs w:val="24"/>
        </w:rPr>
        <w:t>）的增值税专用发票。</w:t>
      </w:r>
    </w:p>
    <w:p w14:paraId="65235522">
      <w:pPr>
        <w:keepNext w:val="0"/>
        <w:keepLines w:val="0"/>
        <w:pageBreakBefore w:val="0"/>
        <w:widowControl w:val="0"/>
        <w:kinsoku/>
        <w:wordWrap/>
        <w:overflowPunct/>
        <w:topLinePunct w:val="0"/>
        <w:autoSpaceDE/>
        <w:autoSpaceDN/>
        <w:bidi w:val="0"/>
        <w:adjustRightInd/>
        <w:snapToGrid/>
        <w:spacing w:before="120" w:after="120" w:line="40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九、税费</w:t>
      </w:r>
    </w:p>
    <w:p w14:paraId="141A21D3">
      <w:pPr>
        <w:keepNext w:val="0"/>
        <w:keepLines w:val="0"/>
        <w:pageBreakBefore w:val="0"/>
        <w:widowControl w:val="0"/>
        <w:kinsoku/>
        <w:wordWrap/>
        <w:overflowPunct/>
        <w:topLinePunct w:val="0"/>
        <w:autoSpaceDE/>
        <w:autoSpaceDN/>
        <w:bidi w:val="0"/>
        <w:adjustRightInd/>
        <w:snapToGrid/>
        <w:spacing w:before="145" w:after="145"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9.1本合同执行中相关的一切税费均由乙方负担。</w:t>
      </w:r>
    </w:p>
    <w:p w14:paraId="04030621">
      <w:pPr>
        <w:keepNext w:val="0"/>
        <w:keepLines w:val="0"/>
        <w:pageBreakBefore w:val="0"/>
        <w:widowControl w:val="0"/>
        <w:kinsoku/>
        <w:wordWrap/>
        <w:overflowPunct/>
        <w:topLinePunct w:val="0"/>
        <w:autoSpaceDE/>
        <w:autoSpaceDN/>
        <w:bidi w:val="0"/>
        <w:adjustRightInd/>
        <w:snapToGrid/>
        <w:spacing w:before="120" w:after="120" w:line="40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十、项目验收</w:t>
      </w:r>
    </w:p>
    <w:p w14:paraId="32B9149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10.1 甲方依法组织履约验收工作。</w:t>
      </w:r>
    </w:p>
    <w:p w14:paraId="282B0E1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0DED8E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10.3 对于实际使用人和甲方分离的项目，甲方邀请实际使用人参与验收。</w:t>
      </w:r>
    </w:p>
    <w:p w14:paraId="40F096C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10.4 如有必要，甲方邀请参加第三方专业机构及专家参与验收，相关意见将作为验收书的参考资料。</w:t>
      </w:r>
    </w:p>
    <w:p w14:paraId="134AD2E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10.5 甲方成立验收小组，按照</w:t>
      </w:r>
      <w:r>
        <w:rPr>
          <w:rFonts w:hint="eastAsia" w:ascii="宋体" w:hAnsi="宋体" w:eastAsia="宋体" w:cs="宋体"/>
          <w:sz w:val="24"/>
          <w:szCs w:val="24"/>
          <w:lang w:val="en-US" w:eastAsia="zh-CN"/>
        </w:rPr>
        <w:t>本</w:t>
      </w:r>
      <w:r>
        <w:rPr>
          <w:rFonts w:hint="eastAsia" w:ascii="宋体" w:hAnsi="宋体" w:eastAsia="宋体" w:cs="宋体"/>
          <w:sz w:val="24"/>
          <w:szCs w:val="24"/>
        </w:rPr>
        <w:t>合同的约定对乙方的履约情况进行验收。验收时,甲方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2F5B9A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10.6 验收合格的项目,甲方根据采购合同的约定及时向乙方支付合同款项、退还履约保证金。验收不合格的项目，甲方依法及时处理。乙方在履约过程中有政府采购法律法规规定的违法违规情形的,甲方将及时报告本级财政部门。</w:t>
      </w:r>
    </w:p>
    <w:p w14:paraId="1D706ED0">
      <w:pPr>
        <w:keepNext w:val="0"/>
        <w:keepLines w:val="0"/>
        <w:pageBreakBefore w:val="0"/>
        <w:widowControl w:val="0"/>
        <w:kinsoku/>
        <w:wordWrap/>
        <w:overflowPunct/>
        <w:topLinePunct w:val="0"/>
        <w:autoSpaceDE/>
        <w:autoSpaceDN/>
        <w:bidi w:val="0"/>
        <w:adjustRightInd/>
        <w:snapToGrid/>
        <w:spacing w:before="120" w:after="120" w:line="40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十一、违约责任</w:t>
      </w:r>
    </w:p>
    <w:p w14:paraId="2C511D3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 甲方无正当理由拒绝接受乙方提供的合同标的的，甲方向乙方偿付拒绝接受合同价款总值</w:t>
      </w:r>
      <w:r>
        <w:rPr>
          <w:rFonts w:hint="eastAsia" w:ascii="宋体" w:hAnsi="宋体" w:eastAsia="宋体" w:cs="宋体"/>
          <w:sz w:val="24"/>
          <w:szCs w:val="24"/>
          <w:u w:val="single"/>
        </w:rPr>
        <w:t>百分之二十</w:t>
      </w:r>
      <w:r>
        <w:rPr>
          <w:rFonts w:hint="eastAsia" w:ascii="宋体" w:hAnsi="宋体" w:eastAsia="宋体" w:cs="宋体"/>
          <w:sz w:val="24"/>
          <w:szCs w:val="24"/>
        </w:rPr>
        <w:t>的违约金。</w:t>
      </w:r>
    </w:p>
    <w:p w14:paraId="28AD6B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 甲方无故逾期验收和办理合同款项支付手续的,甲方应按逾期付款总额</w:t>
      </w:r>
      <w:r>
        <w:rPr>
          <w:rFonts w:hint="eastAsia" w:ascii="宋体" w:hAnsi="宋体" w:eastAsia="宋体" w:cs="宋体"/>
          <w:sz w:val="24"/>
          <w:szCs w:val="24"/>
          <w:u w:val="single"/>
        </w:rPr>
        <w:t>万分之五</w:t>
      </w:r>
      <w:r>
        <w:rPr>
          <w:rFonts w:hint="eastAsia" w:ascii="宋体" w:hAnsi="宋体" w:eastAsia="宋体" w:cs="宋体"/>
          <w:sz w:val="24"/>
          <w:szCs w:val="24"/>
        </w:rPr>
        <w:t>每日向乙方支付违约金。</w:t>
      </w:r>
    </w:p>
    <w:p w14:paraId="0CDC756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乙方逾期交付合同标的的，乙方应按逾期交付合同总额每日</w:t>
      </w:r>
      <w:r>
        <w:rPr>
          <w:rFonts w:hint="eastAsia" w:ascii="宋体" w:hAnsi="宋体" w:eastAsia="宋体" w:cs="宋体"/>
          <w:sz w:val="24"/>
          <w:szCs w:val="24"/>
          <w:u w:val="single"/>
        </w:rPr>
        <w:t>万分之五</w:t>
      </w:r>
      <w:r>
        <w:rPr>
          <w:rFonts w:hint="eastAsia" w:ascii="宋体" w:hAnsi="宋体" w:eastAsia="宋体" w:cs="宋体"/>
          <w:sz w:val="24"/>
          <w:szCs w:val="24"/>
        </w:rPr>
        <w:t>向甲方支付违约金，由甲方从待付合同款项中扣除。逾期超过约定日期</w:t>
      </w:r>
      <w:r>
        <w:rPr>
          <w:rFonts w:hint="eastAsia" w:ascii="宋体" w:hAnsi="宋体" w:eastAsia="宋体" w:cs="宋体"/>
          <w:sz w:val="24"/>
          <w:szCs w:val="24"/>
          <w:u w:val="single"/>
        </w:rPr>
        <w:t>10</w:t>
      </w:r>
      <w:r>
        <w:rPr>
          <w:rFonts w:hint="eastAsia" w:ascii="宋体" w:hAnsi="宋体" w:eastAsia="宋体" w:cs="宋体"/>
          <w:sz w:val="24"/>
          <w:szCs w:val="24"/>
        </w:rPr>
        <w:t>个工作日不能交付合同标的的，甲方可解除本合同。乙方因逾期交付合同标的或因其他违约行为导致甲方解除合同的，乙方应向甲方支付合同价款总额</w:t>
      </w:r>
      <w:r>
        <w:rPr>
          <w:rFonts w:hint="eastAsia" w:ascii="宋体" w:hAnsi="宋体" w:eastAsia="宋体" w:cs="宋体"/>
          <w:sz w:val="24"/>
          <w:szCs w:val="24"/>
          <w:u w:val="single"/>
        </w:rPr>
        <w:t>百分之二十</w:t>
      </w:r>
      <w:r>
        <w:rPr>
          <w:rFonts w:hint="eastAsia" w:ascii="宋体" w:hAnsi="宋体" w:eastAsia="宋体" w:cs="宋体"/>
          <w:sz w:val="24"/>
          <w:szCs w:val="24"/>
        </w:rPr>
        <w:t xml:space="preserve">的违约金，如造成甲方损失超过违约金的，超出部分由乙方继续承担赔偿责任。 </w:t>
      </w:r>
    </w:p>
    <w:p w14:paraId="38FE10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 乙方交付合同标的的标准不符合合同规定及采购文件规定标准的，甲方有权拒绝接受合同标的，并可单方面解除合同。</w:t>
      </w:r>
    </w:p>
    <w:p w14:paraId="74830CE8">
      <w:pPr>
        <w:keepNext w:val="0"/>
        <w:keepLines w:val="0"/>
        <w:pageBreakBefore w:val="0"/>
        <w:widowControl w:val="0"/>
        <w:kinsoku/>
        <w:wordWrap/>
        <w:overflowPunct/>
        <w:topLinePunct w:val="0"/>
        <w:autoSpaceDE/>
        <w:autoSpaceDN/>
        <w:bidi w:val="0"/>
        <w:adjustRightInd/>
        <w:snapToGrid/>
        <w:spacing w:before="120" w:after="120" w:line="400" w:lineRule="exact"/>
        <w:ind w:firstLine="562" w:firstLineChars="200"/>
        <w:textAlignment w:val="auto"/>
        <w:rPr>
          <w:rFonts w:hint="eastAsia" w:ascii="宋体" w:hAnsi="宋体" w:cs="宋体"/>
          <w:b/>
          <w:sz w:val="28"/>
          <w:szCs w:val="28"/>
          <w:lang w:val="en-US" w:eastAsia="zh-CN"/>
        </w:rPr>
      </w:pPr>
      <w:r>
        <w:rPr>
          <w:rFonts w:hint="eastAsia" w:ascii="宋体" w:hAnsi="宋体" w:eastAsia="宋体" w:cs="宋体"/>
          <w:b/>
          <w:sz w:val="28"/>
          <w:szCs w:val="28"/>
          <w:lang w:val="en-US" w:eastAsia="zh-CN"/>
        </w:rPr>
        <w:t>十二、</w:t>
      </w:r>
      <w:r>
        <w:rPr>
          <w:rFonts w:hint="eastAsia" w:ascii="宋体" w:hAnsi="宋体" w:cs="宋体"/>
          <w:b/>
          <w:sz w:val="28"/>
          <w:szCs w:val="28"/>
          <w:lang w:val="en-US" w:eastAsia="zh-CN"/>
        </w:rPr>
        <w:t>其他事项</w:t>
      </w:r>
    </w:p>
    <w:p w14:paraId="43402259">
      <w:pPr>
        <w:keepNext w:val="0"/>
        <w:keepLines w:val="0"/>
        <w:pageBreakBefore w:val="0"/>
        <w:widowControl w:val="0"/>
        <w:kinsoku/>
        <w:wordWrap/>
        <w:overflowPunct/>
        <w:topLinePunct w:val="0"/>
        <w:autoSpaceDE/>
        <w:autoSpaceDN/>
        <w:bidi w:val="0"/>
        <w:adjustRightInd/>
        <w:snapToGrid/>
        <w:spacing w:before="120" w:after="120"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具体的考核办法和考核细则详见附件2</w:t>
      </w:r>
    </w:p>
    <w:p w14:paraId="78A18B56">
      <w:pPr>
        <w:keepNext w:val="0"/>
        <w:keepLines w:val="0"/>
        <w:pageBreakBefore w:val="0"/>
        <w:widowControl w:val="0"/>
        <w:kinsoku/>
        <w:wordWrap/>
        <w:overflowPunct/>
        <w:topLinePunct w:val="0"/>
        <w:autoSpaceDE/>
        <w:autoSpaceDN/>
        <w:bidi w:val="0"/>
        <w:adjustRightInd/>
        <w:snapToGrid/>
        <w:spacing w:before="120" w:after="120" w:line="40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十</w:t>
      </w:r>
      <w:r>
        <w:rPr>
          <w:rFonts w:hint="eastAsia" w:ascii="宋体" w:hAnsi="宋体" w:eastAsia="宋体" w:cs="宋体"/>
          <w:b/>
          <w:sz w:val="28"/>
          <w:szCs w:val="28"/>
          <w:lang w:val="en-US" w:eastAsia="zh-CN"/>
        </w:rPr>
        <w:t>三</w:t>
      </w:r>
      <w:r>
        <w:rPr>
          <w:rFonts w:hint="eastAsia" w:ascii="宋体" w:hAnsi="宋体" w:eastAsia="宋体" w:cs="宋体"/>
          <w:b/>
          <w:sz w:val="28"/>
          <w:szCs w:val="28"/>
        </w:rPr>
        <w:t>、不可抗力事件处理</w:t>
      </w:r>
    </w:p>
    <w:p w14:paraId="18376B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 在合同有效期内，任何一方因不可抗力事件导致不能履行合同，则合同履行期可延长，其延长期与不可抗力影响期相同。</w:t>
      </w:r>
    </w:p>
    <w:p w14:paraId="3611F14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 不可抗力事件发生后，应立即通知对方，并寄送有关权威机构出具的证明。</w:t>
      </w:r>
    </w:p>
    <w:p w14:paraId="46FDAB2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 不可抗力事件延续</w:t>
      </w:r>
      <w:r>
        <w:rPr>
          <w:rFonts w:hint="eastAsia" w:ascii="宋体" w:hAnsi="宋体" w:eastAsia="宋体" w:cs="宋体"/>
          <w:sz w:val="24"/>
          <w:szCs w:val="24"/>
          <w:u w:val="single"/>
          <w:lang w:val="en-US" w:eastAsia="zh-CN"/>
        </w:rPr>
        <w:t>10日历</w:t>
      </w:r>
      <w:r>
        <w:rPr>
          <w:rFonts w:hint="eastAsia" w:ascii="宋体" w:hAnsi="宋体" w:eastAsia="宋体" w:cs="宋体"/>
          <w:sz w:val="24"/>
          <w:szCs w:val="24"/>
        </w:rPr>
        <w:t>天以上，双方应通过友好协商，确定是否继续履行合同。</w:t>
      </w:r>
    </w:p>
    <w:p w14:paraId="4DFD9548">
      <w:pPr>
        <w:keepNext w:val="0"/>
        <w:keepLines w:val="0"/>
        <w:pageBreakBefore w:val="0"/>
        <w:widowControl w:val="0"/>
        <w:kinsoku/>
        <w:wordWrap/>
        <w:overflowPunct/>
        <w:topLinePunct w:val="0"/>
        <w:autoSpaceDE/>
        <w:autoSpaceDN/>
        <w:bidi w:val="0"/>
        <w:adjustRightInd/>
        <w:snapToGrid/>
        <w:spacing w:before="120" w:after="120" w:line="40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十</w:t>
      </w:r>
      <w:r>
        <w:rPr>
          <w:rFonts w:hint="eastAsia" w:ascii="宋体" w:hAnsi="宋体" w:eastAsia="宋体" w:cs="宋体"/>
          <w:b/>
          <w:sz w:val="28"/>
          <w:szCs w:val="28"/>
          <w:lang w:val="en-US" w:eastAsia="zh-CN"/>
        </w:rPr>
        <w:t>四</w:t>
      </w:r>
      <w:r>
        <w:rPr>
          <w:rFonts w:hint="eastAsia" w:ascii="宋体" w:hAnsi="宋体" w:eastAsia="宋体" w:cs="宋体"/>
          <w:b/>
          <w:sz w:val="28"/>
          <w:szCs w:val="28"/>
        </w:rPr>
        <w:t>、解决争议的方法</w:t>
      </w:r>
    </w:p>
    <w:p w14:paraId="434A191E">
      <w:pPr>
        <w:keepNext w:val="0"/>
        <w:keepLines w:val="0"/>
        <w:pageBreakBefore w:val="0"/>
        <w:widowControl w:val="0"/>
        <w:kinsoku/>
        <w:wordWrap/>
        <w:overflowPunct/>
        <w:topLinePunct w:val="0"/>
        <w:autoSpaceDE/>
        <w:autoSpaceDN/>
        <w:bidi w:val="0"/>
        <w:adjustRightInd/>
        <w:snapToGrid/>
        <w:spacing w:before="120" w:after="12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13.1双方在签订、履行合同中所发生的一切争议，应通过友好协商解决。如协商不成，由甲方住所地人民法院管辖。</w:t>
      </w:r>
    </w:p>
    <w:p w14:paraId="5EDC04EF">
      <w:pPr>
        <w:keepNext w:val="0"/>
        <w:keepLines w:val="0"/>
        <w:pageBreakBefore w:val="0"/>
        <w:widowControl w:val="0"/>
        <w:kinsoku/>
        <w:wordWrap/>
        <w:overflowPunct/>
        <w:topLinePunct w:val="0"/>
        <w:autoSpaceDE/>
        <w:autoSpaceDN/>
        <w:bidi w:val="0"/>
        <w:adjustRightInd/>
        <w:snapToGrid/>
        <w:spacing w:before="120" w:after="120" w:line="40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十</w:t>
      </w:r>
      <w:r>
        <w:rPr>
          <w:rFonts w:hint="eastAsia" w:ascii="宋体" w:hAnsi="宋体" w:eastAsia="宋体" w:cs="宋体"/>
          <w:b/>
          <w:sz w:val="28"/>
          <w:szCs w:val="28"/>
          <w:lang w:val="en-US" w:eastAsia="zh-CN"/>
        </w:rPr>
        <w:t>五</w:t>
      </w:r>
      <w:r>
        <w:rPr>
          <w:rFonts w:hint="eastAsia" w:ascii="宋体" w:hAnsi="宋体" w:eastAsia="宋体" w:cs="宋体"/>
          <w:b/>
          <w:sz w:val="28"/>
          <w:szCs w:val="28"/>
        </w:rPr>
        <w:t>、合同生效及其它</w:t>
      </w:r>
    </w:p>
    <w:p w14:paraId="5EA2CCF4">
      <w:pPr>
        <w:keepNext w:val="0"/>
        <w:keepLines w:val="0"/>
        <w:pageBreakBefore w:val="0"/>
        <w:widowControl w:val="0"/>
        <w:kinsoku/>
        <w:wordWrap/>
        <w:overflowPunct/>
        <w:topLinePunct w:val="0"/>
        <w:autoSpaceDE/>
        <w:autoSpaceDN/>
        <w:bidi w:val="0"/>
        <w:adjustRightInd/>
        <w:snapToGrid/>
        <w:spacing w:before="120" w:after="12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 合同经双方法定代表人或授权委托代表人签字并加盖单位公章后生效。</w:t>
      </w:r>
    </w:p>
    <w:p w14:paraId="5350412D">
      <w:pPr>
        <w:keepNext w:val="0"/>
        <w:keepLines w:val="0"/>
        <w:pageBreakBefore w:val="0"/>
        <w:widowControl w:val="0"/>
        <w:kinsoku/>
        <w:wordWrap/>
        <w:overflowPunct/>
        <w:topLinePunct w:val="0"/>
        <w:autoSpaceDE/>
        <w:autoSpaceDN/>
        <w:bidi w:val="0"/>
        <w:adjustRightInd/>
        <w:snapToGrid/>
        <w:spacing w:before="120" w:after="12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14.2本合同未尽事宜，遵照中华人民共和国现行法律法规有关条文执行。</w:t>
      </w:r>
    </w:p>
    <w:p w14:paraId="210DB379">
      <w:pPr>
        <w:keepNext w:val="0"/>
        <w:keepLines w:val="0"/>
        <w:pageBreakBefore w:val="0"/>
        <w:widowControl w:val="0"/>
        <w:kinsoku/>
        <w:wordWrap/>
        <w:overflowPunct/>
        <w:topLinePunct w:val="0"/>
        <w:autoSpaceDE/>
        <w:autoSpaceDN/>
        <w:bidi w:val="0"/>
        <w:adjustRightInd/>
        <w:snapToGrid/>
        <w:spacing w:before="120" w:after="12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14.3 本合同正本一式</w:t>
      </w:r>
      <w:r>
        <w:rPr>
          <w:rFonts w:hint="eastAsia" w:ascii="宋体" w:hAnsi="宋体" w:eastAsia="宋体" w:cs="宋体"/>
          <w:sz w:val="24"/>
          <w:szCs w:val="24"/>
          <w:u w:val="single"/>
        </w:rPr>
        <w:t>六</w:t>
      </w:r>
      <w:r>
        <w:rPr>
          <w:rFonts w:hint="eastAsia" w:ascii="宋体" w:hAnsi="宋体" w:eastAsia="宋体" w:cs="宋体"/>
          <w:sz w:val="24"/>
          <w:szCs w:val="24"/>
        </w:rPr>
        <w:t>份，具有同等法律效力。</w:t>
      </w:r>
    </w:p>
    <w:tbl>
      <w:tblPr>
        <w:tblStyle w:val="27"/>
        <w:tblW w:w="8464"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88"/>
        <w:gridCol w:w="4476"/>
      </w:tblGrid>
      <w:tr w14:paraId="76F47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3988" w:type="dxa"/>
            <w:noWrap w:val="0"/>
            <w:vAlign w:val="top"/>
          </w:tcPr>
          <w:p w14:paraId="0C262C48">
            <w:pPr>
              <w:pStyle w:val="87"/>
              <w:keepNext w:val="0"/>
              <w:pageBreakBefore w:val="0"/>
              <w:kinsoku/>
              <w:wordWrap/>
              <w:overflowPunct/>
              <w:bidi w:val="0"/>
              <w:spacing w:line="440" w:lineRule="exact"/>
              <w:ind w:left="28" w:firstLine="456" w:firstLineChars="200"/>
              <w:rPr>
                <w:sz w:val="24"/>
                <w:szCs w:val="24"/>
              </w:rPr>
            </w:pPr>
            <w:r>
              <w:rPr>
                <w:rFonts w:hint="eastAsia"/>
                <w:spacing w:val="-6"/>
                <w:sz w:val="24"/>
                <w:szCs w:val="24"/>
              </w:rPr>
              <w:t>甲方（公章）</w:t>
            </w:r>
          </w:p>
        </w:tc>
        <w:tc>
          <w:tcPr>
            <w:tcW w:w="4476" w:type="dxa"/>
            <w:noWrap w:val="0"/>
            <w:vAlign w:val="top"/>
          </w:tcPr>
          <w:p w14:paraId="06663B84">
            <w:pPr>
              <w:keepNext w:val="0"/>
              <w:pageBreakBefore w:val="0"/>
              <w:kinsoku/>
              <w:wordWrap/>
              <w:overflowPunct/>
              <w:bidi w:val="0"/>
              <w:spacing w:line="440" w:lineRule="exact"/>
              <w:ind w:firstLine="480" w:firstLineChars="200"/>
              <w:rPr>
                <w:rFonts w:ascii="宋体" w:hAnsi="宋体" w:cs="宋体"/>
                <w:sz w:val="24"/>
                <w:szCs w:val="24"/>
              </w:rPr>
            </w:pPr>
            <w:r>
              <w:rPr>
                <w:rFonts w:hint="eastAsia" w:ascii="宋体" w:hAnsi="宋体" w:cs="宋体"/>
                <w:sz w:val="24"/>
                <w:szCs w:val="24"/>
              </w:rPr>
              <w:t>乙方（公章）</w:t>
            </w:r>
          </w:p>
        </w:tc>
      </w:tr>
      <w:tr w14:paraId="3EDB5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3988" w:type="dxa"/>
            <w:noWrap w:val="0"/>
            <w:vAlign w:val="top"/>
          </w:tcPr>
          <w:p w14:paraId="414A3A54">
            <w:pPr>
              <w:pStyle w:val="87"/>
              <w:keepNext w:val="0"/>
              <w:pageBreakBefore w:val="0"/>
              <w:kinsoku/>
              <w:wordWrap/>
              <w:overflowPunct/>
              <w:bidi w:val="0"/>
              <w:spacing w:before="113" w:line="440" w:lineRule="exact"/>
              <w:ind w:left="1" w:firstLine="476" w:firstLineChars="200"/>
              <w:rPr>
                <w:sz w:val="24"/>
                <w:szCs w:val="24"/>
              </w:rPr>
            </w:pPr>
            <w:r>
              <w:rPr>
                <w:rFonts w:hint="eastAsia"/>
                <w:spacing w:val="-1"/>
                <w:sz w:val="24"/>
                <w:szCs w:val="24"/>
              </w:rPr>
              <w:t>法定代表人</w:t>
            </w:r>
            <w:r>
              <w:rPr>
                <w:rFonts w:hint="eastAsia"/>
                <w:spacing w:val="-1"/>
                <w:sz w:val="24"/>
                <w:szCs w:val="24"/>
                <w:lang w:val="en-US" w:eastAsia="zh-CN"/>
              </w:rPr>
              <w:t>或委托代理人（签章）</w:t>
            </w:r>
            <w:r>
              <w:rPr>
                <w:rFonts w:hint="eastAsia"/>
                <w:spacing w:val="-1"/>
                <w:sz w:val="24"/>
                <w:szCs w:val="24"/>
              </w:rPr>
              <w:t>：</w:t>
            </w:r>
          </w:p>
        </w:tc>
        <w:tc>
          <w:tcPr>
            <w:tcW w:w="4476" w:type="dxa"/>
            <w:noWrap w:val="0"/>
            <w:vAlign w:val="top"/>
          </w:tcPr>
          <w:p w14:paraId="2DDFF57D">
            <w:pPr>
              <w:keepNext w:val="0"/>
              <w:pageBreakBefore w:val="0"/>
              <w:kinsoku/>
              <w:wordWrap/>
              <w:overflowPunct/>
              <w:bidi w:val="0"/>
              <w:spacing w:line="440" w:lineRule="exact"/>
              <w:ind w:firstLine="480" w:firstLineChars="200"/>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或委托代理人（签章）</w:t>
            </w:r>
            <w:r>
              <w:rPr>
                <w:rFonts w:hint="eastAsia" w:ascii="宋体" w:hAnsi="宋体" w:cs="宋体"/>
                <w:sz w:val="24"/>
                <w:szCs w:val="24"/>
              </w:rPr>
              <w:t>：</w:t>
            </w:r>
          </w:p>
        </w:tc>
      </w:tr>
      <w:tr w14:paraId="6C43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3988" w:type="dxa"/>
            <w:noWrap w:val="0"/>
            <w:vAlign w:val="top"/>
          </w:tcPr>
          <w:p w14:paraId="0D73556A">
            <w:pPr>
              <w:pStyle w:val="87"/>
              <w:keepNext w:val="0"/>
              <w:pageBreakBefore w:val="0"/>
              <w:kinsoku/>
              <w:wordWrap/>
              <w:overflowPunct/>
              <w:bidi w:val="0"/>
              <w:spacing w:before="114" w:line="440" w:lineRule="exact"/>
              <w:ind w:left="1" w:firstLine="452" w:firstLineChars="200"/>
              <w:rPr>
                <w:sz w:val="24"/>
                <w:szCs w:val="24"/>
              </w:rPr>
            </w:pPr>
            <w:r>
              <w:rPr>
                <w:rFonts w:hint="eastAsia"/>
                <w:spacing w:val="-7"/>
                <w:sz w:val="24"/>
                <w:szCs w:val="24"/>
              </w:rPr>
              <w:t>联系电话：</w:t>
            </w:r>
          </w:p>
        </w:tc>
        <w:tc>
          <w:tcPr>
            <w:tcW w:w="4476" w:type="dxa"/>
            <w:noWrap w:val="0"/>
            <w:vAlign w:val="top"/>
          </w:tcPr>
          <w:p w14:paraId="515E4657">
            <w:pPr>
              <w:keepNext w:val="0"/>
              <w:pageBreakBefore w:val="0"/>
              <w:kinsoku/>
              <w:wordWrap/>
              <w:overflowPunct/>
              <w:bidi w:val="0"/>
              <w:spacing w:line="440" w:lineRule="exact"/>
              <w:ind w:firstLine="480" w:firstLineChars="200"/>
              <w:rPr>
                <w:rFonts w:ascii="宋体" w:hAnsi="宋体" w:cs="宋体"/>
                <w:sz w:val="24"/>
                <w:szCs w:val="24"/>
              </w:rPr>
            </w:pPr>
            <w:r>
              <w:rPr>
                <w:rFonts w:hint="eastAsia" w:ascii="宋体" w:hAnsi="宋体" w:cs="宋体"/>
                <w:sz w:val="24"/>
                <w:szCs w:val="24"/>
              </w:rPr>
              <w:t>联系电话：</w:t>
            </w:r>
          </w:p>
        </w:tc>
      </w:tr>
      <w:tr w14:paraId="7D663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3988" w:type="dxa"/>
            <w:noWrap w:val="0"/>
            <w:vAlign w:val="top"/>
          </w:tcPr>
          <w:p w14:paraId="68CBF038">
            <w:pPr>
              <w:pStyle w:val="87"/>
              <w:keepNext w:val="0"/>
              <w:pageBreakBefore w:val="0"/>
              <w:kinsoku/>
              <w:wordWrap/>
              <w:overflowPunct/>
              <w:bidi w:val="0"/>
              <w:spacing w:before="114" w:line="440" w:lineRule="exact"/>
              <w:ind w:left="1" w:firstLine="452" w:firstLineChars="200"/>
              <w:rPr>
                <w:sz w:val="24"/>
                <w:szCs w:val="24"/>
              </w:rPr>
            </w:pPr>
            <w:r>
              <w:rPr>
                <w:rFonts w:hint="eastAsia"/>
                <w:spacing w:val="-7"/>
                <w:sz w:val="24"/>
                <w:szCs w:val="24"/>
              </w:rPr>
              <w:t>开户银行：</w:t>
            </w:r>
          </w:p>
        </w:tc>
        <w:tc>
          <w:tcPr>
            <w:tcW w:w="4476" w:type="dxa"/>
            <w:noWrap w:val="0"/>
            <w:vAlign w:val="top"/>
          </w:tcPr>
          <w:p w14:paraId="4DF5F23F">
            <w:pPr>
              <w:keepNext w:val="0"/>
              <w:pageBreakBefore w:val="0"/>
              <w:kinsoku/>
              <w:wordWrap/>
              <w:overflowPunct/>
              <w:bidi w:val="0"/>
              <w:spacing w:line="440" w:lineRule="exact"/>
              <w:ind w:firstLine="480" w:firstLineChars="200"/>
              <w:rPr>
                <w:rFonts w:ascii="宋体" w:hAnsi="宋体" w:cs="宋体"/>
                <w:sz w:val="24"/>
                <w:szCs w:val="24"/>
              </w:rPr>
            </w:pPr>
            <w:r>
              <w:rPr>
                <w:rFonts w:hint="eastAsia" w:ascii="宋体" w:hAnsi="宋体" w:cs="宋体"/>
                <w:sz w:val="24"/>
                <w:szCs w:val="24"/>
              </w:rPr>
              <w:t>开户银行：</w:t>
            </w:r>
          </w:p>
        </w:tc>
      </w:tr>
      <w:tr w14:paraId="4F02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3988" w:type="dxa"/>
            <w:noWrap w:val="0"/>
            <w:vAlign w:val="top"/>
          </w:tcPr>
          <w:p w14:paraId="110725B2">
            <w:pPr>
              <w:pStyle w:val="87"/>
              <w:keepNext w:val="0"/>
              <w:pageBreakBefore w:val="0"/>
              <w:kinsoku/>
              <w:wordWrap/>
              <w:overflowPunct/>
              <w:bidi w:val="0"/>
              <w:spacing w:before="116" w:line="440" w:lineRule="exact"/>
              <w:ind w:left="4" w:firstLine="424" w:firstLineChars="200"/>
              <w:rPr>
                <w:sz w:val="24"/>
                <w:szCs w:val="24"/>
              </w:rPr>
            </w:pPr>
            <w:r>
              <w:rPr>
                <w:rFonts w:hint="eastAsia"/>
                <w:spacing w:val="-14"/>
                <w:sz w:val="24"/>
                <w:szCs w:val="24"/>
              </w:rPr>
              <w:t>账号：</w:t>
            </w:r>
          </w:p>
        </w:tc>
        <w:tc>
          <w:tcPr>
            <w:tcW w:w="4476" w:type="dxa"/>
            <w:noWrap w:val="0"/>
            <w:vAlign w:val="top"/>
          </w:tcPr>
          <w:p w14:paraId="01E30B6D">
            <w:pPr>
              <w:keepNext w:val="0"/>
              <w:pageBreakBefore w:val="0"/>
              <w:kinsoku/>
              <w:wordWrap/>
              <w:overflowPunct/>
              <w:bidi w:val="0"/>
              <w:spacing w:line="440" w:lineRule="exact"/>
              <w:ind w:firstLine="480" w:firstLineChars="200"/>
              <w:rPr>
                <w:rFonts w:ascii="宋体" w:hAnsi="宋体" w:cs="宋体"/>
                <w:sz w:val="24"/>
                <w:szCs w:val="24"/>
              </w:rPr>
            </w:pPr>
            <w:r>
              <w:rPr>
                <w:rFonts w:hint="eastAsia" w:ascii="宋体" w:hAnsi="宋体" w:cs="宋体"/>
                <w:sz w:val="24"/>
                <w:szCs w:val="24"/>
              </w:rPr>
              <w:t>账  号：</w:t>
            </w:r>
          </w:p>
        </w:tc>
      </w:tr>
      <w:tr w14:paraId="0939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3988" w:type="dxa"/>
            <w:noWrap w:val="0"/>
            <w:vAlign w:val="top"/>
          </w:tcPr>
          <w:p w14:paraId="285D9D4B">
            <w:pPr>
              <w:pStyle w:val="87"/>
              <w:keepNext w:val="0"/>
              <w:pageBreakBefore w:val="0"/>
              <w:kinsoku/>
              <w:wordWrap/>
              <w:overflowPunct/>
              <w:bidi w:val="0"/>
              <w:spacing w:before="113" w:line="440" w:lineRule="exact"/>
              <w:ind w:firstLine="476" w:firstLineChars="200"/>
              <w:rPr>
                <w:sz w:val="24"/>
                <w:szCs w:val="24"/>
              </w:rPr>
            </w:pPr>
            <w:r>
              <w:rPr>
                <w:rFonts w:hint="eastAsia"/>
                <w:spacing w:val="-1"/>
                <w:sz w:val="24"/>
                <w:szCs w:val="24"/>
              </w:rPr>
              <w:t>地址及邮编：</w:t>
            </w:r>
          </w:p>
        </w:tc>
        <w:tc>
          <w:tcPr>
            <w:tcW w:w="4476" w:type="dxa"/>
            <w:noWrap w:val="0"/>
            <w:vAlign w:val="top"/>
          </w:tcPr>
          <w:p w14:paraId="703ED280">
            <w:pPr>
              <w:keepNext w:val="0"/>
              <w:pageBreakBefore w:val="0"/>
              <w:kinsoku/>
              <w:wordWrap/>
              <w:overflowPunct/>
              <w:bidi w:val="0"/>
              <w:spacing w:line="440" w:lineRule="exact"/>
              <w:ind w:firstLine="480" w:firstLineChars="200"/>
              <w:rPr>
                <w:rFonts w:ascii="宋体" w:hAnsi="宋体" w:cs="宋体"/>
                <w:sz w:val="24"/>
                <w:szCs w:val="24"/>
              </w:rPr>
            </w:pPr>
            <w:r>
              <w:rPr>
                <w:rFonts w:hint="eastAsia" w:ascii="宋体" w:hAnsi="宋体" w:cs="宋体"/>
                <w:sz w:val="24"/>
                <w:szCs w:val="24"/>
              </w:rPr>
              <w:t>地址及邮编：</w:t>
            </w:r>
          </w:p>
        </w:tc>
      </w:tr>
      <w:tr w14:paraId="2C740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3988" w:type="dxa"/>
            <w:noWrap w:val="0"/>
            <w:vAlign w:val="top"/>
          </w:tcPr>
          <w:p w14:paraId="66AA89A0">
            <w:pPr>
              <w:pStyle w:val="87"/>
              <w:keepNext w:val="0"/>
              <w:pageBreakBefore w:val="0"/>
              <w:kinsoku/>
              <w:wordWrap/>
              <w:overflowPunct/>
              <w:bidi w:val="0"/>
              <w:spacing w:before="69" w:line="440" w:lineRule="exact"/>
              <w:ind w:firstLine="440" w:firstLineChars="200"/>
              <w:rPr>
                <w:sz w:val="24"/>
                <w:szCs w:val="24"/>
              </w:rPr>
            </w:pPr>
            <w:r>
              <w:rPr>
                <w:rFonts w:hint="eastAsia"/>
                <w:spacing w:val="-10"/>
                <w:sz w:val="24"/>
                <w:szCs w:val="24"/>
              </w:rPr>
              <w:t>签订时间：     年</w:t>
            </w:r>
            <w:r>
              <w:rPr>
                <w:rFonts w:hint="eastAsia"/>
                <w:spacing w:val="-10"/>
                <w:sz w:val="24"/>
                <w:szCs w:val="24"/>
                <w:lang w:val="en-US" w:eastAsia="zh-CN"/>
              </w:rPr>
              <w:t xml:space="preserve"> </w:t>
            </w:r>
            <w:r>
              <w:rPr>
                <w:rFonts w:hint="eastAsia"/>
                <w:spacing w:val="-10"/>
                <w:sz w:val="24"/>
                <w:szCs w:val="24"/>
              </w:rPr>
              <w:t>月</w:t>
            </w:r>
            <w:r>
              <w:rPr>
                <w:rFonts w:hint="eastAsia"/>
                <w:spacing w:val="-10"/>
                <w:sz w:val="24"/>
                <w:szCs w:val="24"/>
                <w:lang w:val="en-US" w:eastAsia="zh-CN"/>
              </w:rPr>
              <w:t xml:space="preserve"> </w:t>
            </w:r>
            <w:r>
              <w:rPr>
                <w:rFonts w:hint="eastAsia"/>
                <w:spacing w:val="-10"/>
                <w:sz w:val="24"/>
                <w:szCs w:val="24"/>
              </w:rPr>
              <w:t>日</w:t>
            </w:r>
          </w:p>
        </w:tc>
        <w:tc>
          <w:tcPr>
            <w:tcW w:w="4476" w:type="dxa"/>
            <w:noWrap w:val="0"/>
            <w:vAlign w:val="top"/>
          </w:tcPr>
          <w:p w14:paraId="3B20BD56">
            <w:pPr>
              <w:keepNext w:val="0"/>
              <w:pageBreakBefore w:val="0"/>
              <w:kinsoku/>
              <w:wordWrap/>
              <w:overflowPunct/>
              <w:bidi w:val="0"/>
              <w:spacing w:line="440" w:lineRule="exact"/>
              <w:ind w:firstLine="440" w:firstLineChars="200"/>
              <w:rPr>
                <w:rFonts w:ascii="宋体" w:hAnsi="宋体" w:cs="宋体"/>
                <w:sz w:val="24"/>
                <w:szCs w:val="24"/>
              </w:rPr>
            </w:pPr>
            <w:r>
              <w:rPr>
                <w:rFonts w:hint="eastAsia" w:ascii="宋体" w:hAnsi="宋体" w:cs="宋体"/>
                <w:spacing w:val="-10"/>
                <w:sz w:val="24"/>
                <w:szCs w:val="24"/>
              </w:rPr>
              <w:t>签订时间：     年</w:t>
            </w:r>
            <w:r>
              <w:rPr>
                <w:rFonts w:hint="eastAsia" w:ascii="宋体" w:hAnsi="宋体" w:cs="宋体"/>
                <w:spacing w:val="-10"/>
                <w:sz w:val="24"/>
                <w:szCs w:val="24"/>
                <w:lang w:val="en-US" w:eastAsia="zh-CN"/>
              </w:rPr>
              <w:t xml:space="preserve"> </w:t>
            </w:r>
            <w:r>
              <w:rPr>
                <w:rFonts w:hint="eastAsia" w:ascii="宋体" w:hAnsi="宋体" w:cs="宋体"/>
                <w:spacing w:val="-10"/>
                <w:sz w:val="24"/>
                <w:szCs w:val="24"/>
              </w:rPr>
              <w:t>月</w:t>
            </w:r>
            <w:r>
              <w:rPr>
                <w:rFonts w:hint="eastAsia" w:ascii="宋体" w:hAnsi="宋体" w:cs="宋体"/>
                <w:spacing w:val="-10"/>
                <w:sz w:val="24"/>
                <w:szCs w:val="24"/>
                <w:lang w:val="en-US" w:eastAsia="zh-CN"/>
              </w:rPr>
              <w:t xml:space="preserve">  </w:t>
            </w:r>
            <w:r>
              <w:rPr>
                <w:rFonts w:hint="eastAsia" w:ascii="宋体" w:hAnsi="宋体" w:cs="宋体"/>
                <w:spacing w:val="-10"/>
                <w:sz w:val="24"/>
                <w:szCs w:val="24"/>
              </w:rPr>
              <w:t>日</w:t>
            </w:r>
          </w:p>
        </w:tc>
      </w:tr>
    </w:tbl>
    <w:p w14:paraId="291C94CB">
      <w:pPr>
        <w:spacing w:before="120" w:after="120" w:line="0" w:lineRule="atLeast"/>
        <w:ind w:firstLine="240"/>
        <w:rPr>
          <w:rFonts w:hint="default" w:ascii="仿宋" w:hAnsi="仿宋" w:eastAsia="仿宋" w:cs="仿宋"/>
          <w:sz w:val="24"/>
          <w:szCs w:val="24"/>
          <w:lang w:val="en-US" w:eastAsia="zh-CN"/>
        </w:rPr>
      </w:pPr>
    </w:p>
    <w:p w14:paraId="10BF6B60">
      <w:pPr>
        <w:spacing w:before="120" w:after="120" w:line="0" w:lineRule="atLeast"/>
        <w:ind w:firstLine="240"/>
        <w:rPr>
          <w:rFonts w:hint="eastAsia" w:ascii="仿宋" w:hAnsi="仿宋" w:eastAsia="仿宋" w:cs="仿宋"/>
          <w:sz w:val="24"/>
          <w:szCs w:val="24"/>
        </w:rPr>
      </w:pPr>
    </w:p>
    <w:p w14:paraId="0AE93752">
      <w:pPr>
        <w:spacing w:before="120" w:after="120" w:line="0" w:lineRule="atLeast"/>
        <w:rPr>
          <w:rFonts w:hint="eastAsia" w:ascii="仿宋" w:hAnsi="仿宋" w:eastAsia="仿宋" w:cs="仿宋"/>
          <w:sz w:val="24"/>
          <w:szCs w:val="24"/>
        </w:rPr>
      </w:pPr>
      <w:r>
        <w:rPr>
          <w:rFonts w:hint="eastAsia" w:ascii="仿宋" w:hAnsi="仿宋" w:eastAsia="仿宋" w:cs="仿宋"/>
          <w:sz w:val="24"/>
          <w:szCs w:val="24"/>
        </w:rPr>
        <w:t xml:space="preserve">        </w:t>
      </w:r>
    </w:p>
    <w:p w14:paraId="796C0235">
      <w:pPr>
        <w:keepNext w:val="0"/>
        <w:pageBreakBefore w:val="0"/>
        <w:kinsoku/>
        <w:wordWrap/>
        <w:overflowPunct/>
        <w:bidi w:val="0"/>
        <w:spacing w:line="440" w:lineRule="exact"/>
        <w:ind w:firstLine="880" w:firstLineChars="200"/>
        <w:rPr>
          <w:rFonts w:ascii="宋体" w:hAnsi="宋体" w:cs="宋体"/>
          <w:sz w:val="24"/>
          <w:szCs w:val="24"/>
        </w:rPr>
      </w:pPr>
      <w:bookmarkStart w:id="66" w:name="_Hlt16619369"/>
      <w:bookmarkEnd w:id="66"/>
      <w:r>
        <w:rPr>
          <w:rFonts w:hint="eastAsia" w:ascii="仿宋" w:hAnsi="仿宋" w:eastAsia="仿宋" w:cs="仿宋"/>
          <w:bCs/>
          <w:sz w:val="44"/>
          <w:szCs w:val="21"/>
        </w:rPr>
        <w:br w:type="page" w:clear="all"/>
      </w:r>
    </w:p>
    <w:p w14:paraId="631C051E">
      <w:pPr>
        <w:pStyle w:val="26"/>
        <w:spacing w:line="440" w:lineRule="exact"/>
        <w:ind w:left="0" w:leftChars="0" w:firstLine="0" w:firstLineChars="0"/>
        <w:rPr>
          <w:b/>
          <w:bCs/>
          <w:sz w:val="24"/>
          <w:szCs w:val="24"/>
        </w:rPr>
      </w:pPr>
      <w:r>
        <w:rPr>
          <w:rFonts w:hint="eastAsia" w:cs="宋体"/>
          <w:b/>
          <w:bCs/>
          <w:sz w:val="24"/>
          <w:szCs w:val="24"/>
        </w:rPr>
        <w:t>附件1</w:t>
      </w:r>
    </w:p>
    <w:p w14:paraId="44FD3C9F">
      <w:pPr>
        <w:pStyle w:val="88"/>
        <w:spacing w:after="460" w:line="440" w:lineRule="exact"/>
        <w:ind w:firstLine="643" w:firstLineChars="200"/>
        <w:jc w:val="center"/>
        <w:rPr>
          <w:rFonts w:hint="eastAsia"/>
          <w:b/>
          <w:bCs/>
          <w:color w:val="000000"/>
          <w:sz w:val="32"/>
          <w:szCs w:val="32"/>
        </w:rPr>
      </w:pPr>
      <w:r>
        <w:rPr>
          <w:rFonts w:hint="eastAsia"/>
          <w:b/>
          <w:bCs/>
          <w:color w:val="000000"/>
          <w:sz w:val="32"/>
          <w:szCs w:val="32"/>
        </w:rPr>
        <w:t>廉政责任书</w:t>
      </w:r>
    </w:p>
    <w:p w14:paraId="420B68BE">
      <w:pPr>
        <w:adjustRightInd w:val="0"/>
        <w:snapToGrid w:val="0"/>
        <w:spacing w:line="440" w:lineRule="exact"/>
        <w:ind w:firstLine="480" w:firstLineChars="200"/>
        <w:rPr>
          <w:rFonts w:hint="eastAsia" w:ascii="宋体" w:hAnsi="宋体" w:cs="宋体"/>
          <w:sz w:val="24"/>
          <w:szCs w:val="24"/>
          <w:u w:val="single"/>
        </w:rPr>
      </w:pPr>
      <w:r>
        <w:rPr>
          <w:rFonts w:hint="eastAsia" w:ascii="宋体" w:hAnsi="宋体" w:cs="宋体"/>
          <w:sz w:val="24"/>
          <w:szCs w:val="24"/>
        </w:rPr>
        <w:t>甲方:</w:t>
      </w:r>
    </w:p>
    <w:p w14:paraId="4ABE17B7">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乙方:</w:t>
      </w:r>
    </w:p>
    <w:p w14:paraId="79A0A763">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为加强 廉政建设,规范建设工程各项活动中甲乙双方的行为，防止谋取不正当利益的违法违纪现象的发生，保护国家、集体和当事人的合法权益，根据国家有关工程建设的法律法规和廉政建设的有关规定，订立本廉政责任书。</w:t>
      </w:r>
    </w:p>
    <w:p w14:paraId="23426DFD">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一、双方的责任</w:t>
      </w:r>
    </w:p>
    <w:p w14:paraId="4682417A">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1.1应严格遵守国家关于建设工程的有关法律、法规，相关政策，以及廉政建设的各项规定。</w:t>
      </w:r>
    </w:p>
    <w:p w14:paraId="0E16B280">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1.2严格执行建设工程合同文件，自觉按合同办事。</w:t>
      </w:r>
    </w:p>
    <w:p w14:paraId="17CA8F6D">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1.3各项活动必须坚持公开、公平、公正、诚信、透明的原则（除法律法规另有规定者外），不得为获取不正当的利益，损害国家、集体和对方利益，不得违反建设工程管理的规章制度。</w:t>
      </w:r>
    </w:p>
    <w:p w14:paraId="50ED018B">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1.4发现对方在业务活动中有违规、违纪、违法行为的，应及时提醒对方，情节严重的，应向其上级主管部门或纪检监察、司法等有关机关举报。</w:t>
      </w:r>
    </w:p>
    <w:p w14:paraId="2F610D22">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二、甲方责任</w:t>
      </w:r>
    </w:p>
    <w:p w14:paraId="3941B0D0">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甲方的领导和从事该建设工程项目的工作人员，在工程建设的事前、事中、事后应遵守以下规定：</w:t>
      </w:r>
    </w:p>
    <w:p w14:paraId="2828DEC6">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2.1不得向乙方和相关单位索要或接受回扣、礼金、有价证券、贵重物品和好处费、感谢费等。</w:t>
      </w:r>
    </w:p>
    <w:p w14:paraId="42F72925">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2</w:t>
      </w:r>
      <w:r>
        <w:rPr>
          <w:rFonts w:hint="eastAsia" w:ascii="宋体" w:hAnsi="宋体" w:cs="宋体"/>
          <w:sz w:val="24"/>
          <w:szCs w:val="24"/>
        </w:rPr>
        <w:t>不得在乙方和相关单位报销任何应由甲方或个人支付的费用。</w:t>
      </w:r>
    </w:p>
    <w:p w14:paraId="1EF25AC4">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2.3不得要求、暗示或接受乙方和相关单位为个人装修住房、婚丧嫁娶、配偶子女的工作安排以及出国（境）、旅游等提供方便。</w:t>
      </w:r>
    </w:p>
    <w:p w14:paraId="5290E160">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2.4不得参加有可能影响公正执行公务的承包人和相关单位的宴请、健身、娱乐等活动。</w:t>
      </w:r>
    </w:p>
    <w:p w14:paraId="1B23075B">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2.5不得向乙方和相关单位介绍或为配偶、子女、亲属参与同甲方工程建设管理合同有关的业务活动；不得以任何理由要求乙方和相关单位使用某种产品、材料和设备。</w:t>
      </w:r>
    </w:p>
    <w:p w14:paraId="29DDDB9E">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三、乙方责任</w:t>
      </w:r>
    </w:p>
    <w:p w14:paraId="3F3F00A9">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应与甲方保持正常的业务交往，按照有关法律法规和程序开展业务工作，严格执行工程建设的有关方针、政策，执行工程建设强制性标准，并遵守以下规定：</w:t>
      </w:r>
    </w:p>
    <w:p w14:paraId="6F091913">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3.1不得以任何理由向甲方及其工作人员索要、接受或赠送礼金、有价证券、贵重物品及回扣、好处费、感谢费等。</w:t>
      </w:r>
    </w:p>
    <w:p w14:paraId="4B13EB42">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3.2不得以任何理由为甲方和相关单位报销应由对方或个人支付的费用。</w:t>
      </w:r>
    </w:p>
    <w:p w14:paraId="56351878">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3.3不得接受或暗示为甲方、相关单位或个人装修住房、婚丧嫁娶、配偶子女的工作安排以及出国（境）、旅游等提供方便。</w:t>
      </w:r>
    </w:p>
    <w:p w14:paraId="4DF89719">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3.4不得以任何理由为甲方、相关单位或个人组织有可能影响公正执行公务的宴请、健身、娱乐等活动。</w:t>
      </w:r>
    </w:p>
    <w:p w14:paraId="54C97C50">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四、违约责任</w:t>
      </w:r>
    </w:p>
    <w:p w14:paraId="50B2E7EC">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4.1甲方工作人员有违反本责任书第一、二条责任行为的，依据有关法律、法规给予处理；涉嫌犯罪的，移交司法机关追究刑事责任；给乙方造成经济损失的，应予以赔偿。</w:t>
      </w:r>
    </w:p>
    <w:p w14:paraId="7A7820EC">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4.2乙方工作人员有违反本责任书第一、三条责任行为的，依据有关法律法规处理；涉嫌犯罪的，移交司法机关追究刑事责任；给甲方造成经济损失的，应予以赔偿。</w:t>
      </w:r>
    </w:p>
    <w:p w14:paraId="6D93F5EB">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4.3本责任书作为供需合同的组成部分，与供需合同具有同等法律效力。经双方签署后立即生效。</w:t>
      </w:r>
    </w:p>
    <w:p w14:paraId="604E1FB2">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五、责任书有效期</w:t>
      </w:r>
    </w:p>
    <w:p w14:paraId="3022DC16">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本责任书的有效期为双方签署之日起至该工程项目竣工验收合格时止。</w:t>
      </w:r>
    </w:p>
    <w:p w14:paraId="44620B76">
      <w:pPr>
        <w:pStyle w:val="9"/>
        <w:spacing w:line="440" w:lineRule="exact"/>
        <w:ind w:firstLine="480" w:firstLineChars="200"/>
        <w:rPr>
          <w:sz w:val="24"/>
          <w:szCs w:val="24"/>
        </w:rPr>
      </w:pPr>
    </w:p>
    <w:p w14:paraId="005E950C">
      <w:pPr>
        <w:adjustRightInd w:val="0"/>
        <w:snapToGrid w:val="0"/>
        <w:spacing w:line="440" w:lineRule="exact"/>
        <w:ind w:firstLine="480" w:firstLineChars="200"/>
        <w:rPr>
          <w:rFonts w:hint="eastAsia" w:ascii="宋体" w:hAnsi="宋体" w:cs="宋体"/>
          <w:sz w:val="24"/>
          <w:szCs w:val="24"/>
        </w:rPr>
      </w:pPr>
    </w:p>
    <w:p w14:paraId="4788A568">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甲方(公章)：                      乙方(公章)：</w:t>
      </w:r>
    </w:p>
    <w:p w14:paraId="603E5B86">
      <w:pPr>
        <w:adjustRightInd w:val="0"/>
        <w:snapToGrid w:val="0"/>
        <w:spacing w:line="440" w:lineRule="exact"/>
        <w:ind w:firstLine="480" w:firstLineChars="200"/>
        <w:rPr>
          <w:rFonts w:hint="eastAsia" w:ascii="宋体" w:hAnsi="宋体" w:cs="宋体"/>
          <w:sz w:val="24"/>
          <w:szCs w:val="24"/>
        </w:rPr>
      </w:pPr>
    </w:p>
    <w:p w14:paraId="534A1C9D">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法定代表人（盖章）:               法定代表人（盖章）：</w:t>
      </w:r>
    </w:p>
    <w:p w14:paraId="5D389351">
      <w:pPr>
        <w:pStyle w:val="10"/>
        <w:spacing w:line="440" w:lineRule="exact"/>
        <w:ind w:firstLine="480" w:firstLineChars="200"/>
        <w:rPr>
          <w:rFonts w:hint="eastAsia" w:hAnsi="宋体"/>
          <w:szCs w:val="24"/>
          <w:u w:val="single"/>
        </w:rPr>
      </w:pPr>
    </w:p>
    <w:p w14:paraId="5E7873EC">
      <w:pPr>
        <w:spacing w:line="440" w:lineRule="exact"/>
        <w:ind w:firstLine="480" w:firstLineChars="200"/>
        <w:rPr>
          <w:rFonts w:hint="eastAsia" w:ascii="宋体" w:hAnsi="宋体" w:cs="宋体"/>
          <w:sz w:val="24"/>
          <w:szCs w:val="24"/>
          <w:u w:val="single"/>
        </w:rPr>
      </w:pPr>
    </w:p>
    <w:p w14:paraId="4E041B58">
      <w:pPr>
        <w:spacing w:line="440" w:lineRule="exact"/>
        <w:ind w:firstLine="480" w:firstLineChars="200"/>
        <w:rPr>
          <w:rFonts w:hint="eastAsia" w:ascii="方正书宋_GBK" w:hAnsi="宋体" w:eastAsia="方正书宋_GBK"/>
          <w:sz w:val="24"/>
          <w:szCs w:val="24"/>
          <w:u w:val="single"/>
        </w:rPr>
      </w:pPr>
    </w:p>
    <w:p w14:paraId="0E99ED6B">
      <w:pPr>
        <w:pStyle w:val="20"/>
        <w:spacing w:line="440" w:lineRule="exact"/>
        <w:ind w:firstLine="482" w:firstLineChars="200"/>
        <w:rPr>
          <w:rFonts w:cs="宋体"/>
          <w:sz w:val="24"/>
          <w:szCs w:val="24"/>
        </w:rPr>
      </w:pPr>
    </w:p>
    <w:p w14:paraId="4235CB4E">
      <w:pPr>
        <w:rPr>
          <w:rFonts w:cs="宋体"/>
          <w:sz w:val="24"/>
          <w:szCs w:val="24"/>
        </w:rPr>
      </w:pPr>
    </w:p>
    <w:p w14:paraId="24C55A56">
      <w:pPr>
        <w:rPr>
          <w:rFonts w:cs="宋体"/>
          <w:sz w:val="24"/>
          <w:szCs w:val="24"/>
        </w:rPr>
      </w:pPr>
    </w:p>
    <w:p w14:paraId="42275767">
      <w:pPr>
        <w:rPr>
          <w:rFonts w:cs="宋体"/>
          <w:sz w:val="24"/>
          <w:szCs w:val="24"/>
        </w:rPr>
      </w:pPr>
    </w:p>
    <w:p w14:paraId="7A50F32A">
      <w:pPr>
        <w:rPr>
          <w:rFonts w:cs="宋体"/>
          <w:sz w:val="24"/>
          <w:szCs w:val="24"/>
        </w:rPr>
      </w:pPr>
    </w:p>
    <w:p w14:paraId="0E8D8FEA">
      <w:pPr>
        <w:rPr>
          <w:rFonts w:cs="宋体"/>
          <w:sz w:val="24"/>
          <w:szCs w:val="24"/>
        </w:rPr>
      </w:pPr>
    </w:p>
    <w:p w14:paraId="67D6CF02">
      <w:pPr>
        <w:rPr>
          <w:rFonts w:cs="宋体"/>
          <w:sz w:val="24"/>
          <w:szCs w:val="24"/>
        </w:rPr>
      </w:pPr>
    </w:p>
    <w:p w14:paraId="36D0791C">
      <w:pPr>
        <w:rPr>
          <w:rFonts w:cs="宋体"/>
          <w:sz w:val="24"/>
          <w:szCs w:val="24"/>
        </w:rPr>
      </w:pPr>
    </w:p>
    <w:p w14:paraId="76C30AE6">
      <w:pPr>
        <w:rPr>
          <w:rFonts w:cs="宋体"/>
          <w:sz w:val="24"/>
          <w:szCs w:val="24"/>
        </w:rPr>
      </w:pPr>
    </w:p>
    <w:p w14:paraId="338610B1">
      <w:pPr>
        <w:rPr>
          <w:rFonts w:cs="宋体"/>
          <w:sz w:val="24"/>
          <w:szCs w:val="24"/>
        </w:rPr>
      </w:pPr>
    </w:p>
    <w:p w14:paraId="393B28F3">
      <w:pPr>
        <w:rPr>
          <w:rFonts w:cs="宋体"/>
          <w:sz w:val="24"/>
          <w:szCs w:val="24"/>
        </w:rPr>
      </w:pPr>
    </w:p>
    <w:p w14:paraId="2D9EB32B">
      <w:pPr>
        <w:rPr>
          <w:rFonts w:cs="宋体"/>
          <w:b/>
          <w:bCs/>
          <w:sz w:val="24"/>
          <w:szCs w:val="24"/>
        </w:rPr>
      </w:pPr>
      <w:r>
        <w:rPr>
          <w:rFonts w:hint="eastAsia" w:cs="宋体"/>
          <w:b/>
          <w:bCs/>
          <w:sz w:val="24"/>
          <w:szCs w:val="24"/>
        </w:rPr>
        <w:t>附件2</w:t>
      </w:r>
    </w:p>
    <w:p w14:paraId="3C4C37A3">
      <w:pPr>
        <w:rPr>
          <w:rFonts w:cs="宋体"/>
          <w:sz w:val="24"/>
          <w:szCs w:val="24"/>
        </w:rPr>
      </w:pPr>
    </w:p>
    <w:p w14:paraId="52FF38D6">
      <w:pPr>
        <w:jc w:val="center"/>
        <w:rPr>
          <w:b/>
          <w:bCs/>
          <w:sz w:val="36"/>
          <w:szCs w:val="36"/>
        </w:rPr>
      </w:pPr>
      <w:r>
        <w:rPr>
          <w:rFonts w:hint="eastAsia"/>
          <w:b/>
          <w:bCs/>
          <w:sz w:val="36"/>
          <w:szCs w:val="36"/>
        </w:rPr>
        <w:t>如东水务集团有限公司安保等服务项目考核办法</w:t>
      </w:r>
    </w:p>
    <w:p w14:paraId="243454AB">
      <w:pPr>
        <w:pStyle w:val="43"/>
        <w:rPr>
          <w:rFonts w:hint="eastAsia"/>
        </w:rPr>
      </w:pPr>
    </w:p>
    <w:p w14:paraId="06A0DF51">
      <w:pPr>
        <w:autoSpaceDE w:val="0"/>
        <w:autoSpaceDN w:val="0"/>
        <w:spacing w:line="400" w:lineRule="exact"/>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一、考核细则</w:t>
      </w:r>
    </w:p>
    <w:p w14:paraId="64A3ECEE">
      <w:pPr>
        <w:widowControl/>
        <w:spacing w:line="4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sz w:val="24"/>
          <w:szCs w:val="24"/>
        </w:rPr>
        <w:t>（1）</w:t>
      </w:r>
      <w:r>
        <w:rPr>
          <w:rFonts w:hint="eastAsia" w:ascii="宋体" w:hAnsi="宋体" w:cs="宋体"/>
          <w:color w:val="000000"/>
          <w:kern w:val="0"/>
          <w:sz w:val="24"/>
          <w:szCs w:val="24"/>
        </w:rPr>
        <w:t>着装整齐统一规范：头发光鲜、领带打正、帽子戴正、不挽袖、不卷裤腿、不留胡须、下班时间不在工作区域范围内穿背心、短裤、拖鞋，风纪严明；若有不合格处，酌情处理；</w:t>
      </w:r>
    </w:p>
    <w:p w14:paraId="7FC563BD">
      <w:pPr>
        <w:widowControl/>
        <w:spacing w:line="4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sz w:val="24"/>
          <w:szCs w:val="24"/>
        </w:rPr>
        <w:t>（2）</w:t>
      </w:r>
      <w:r>
        <w:rPr>
          <w:rFonts w:hint="eastAsia" w:ascii="宋体" w:hAnsi="宋体" w:cs="宋体"/>
          <w:color w:val="000000"/>
          <w:kern w:val="0"/>
          <w:sz w:val="24"/>
          <w:szCs w:val="24"/>
        </w:rPr>
        <w:t>文明服务礼貌待人：主动与用户打招呼并问好，遇领导及外来参观访问人员应起立、敬礼问候；纠正违规行为时应先敬礼；交接班时应互相问候并敬礼，按正规交接形式交接班；工作时间不游玩、嬉戏或取笑服务对象及其它人员；若有不合格处，酌情处理；</w:t>
      </w:r>
    </w:p>
    <w:p w14:paraId="52903E79">
      <w:pPr>
        <w:widowControl/>
        <w:spacing w:line="4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sz w:val="24"/>
          <w:szCs w:val="24"/>
        </w:rPr>
        <w:t>（3）</w:t>
      </w:r>
      <w:r>
        <w:rPr>
          <w:rFonts w:hint="eastAsia" w:ascii="宋体" w:hAnsi="宋体" w:cs="宋体"/>
          <w:color w:val="000000"/>
          <w:kern w:val="0"/>
          <w:sz w:val="24"/>
          <w:szCs w:val="24"/>
        </w:rPr>
        <w:t>忠于职守乐于助人：坚守岗位、不脱岗、不做与工作无关的任何事情，认真做好工作记录，详尽登记工作中发生的大事；主动帮助用户拿取重物，为服务对象排忧解难；认真指引来访人员；若有不合格处，酌情处理；</w:t>
      </w:r>
    </w:p>
    <w:p w14:paraId="02B988B2">
      <w:pPr>
        <w:widowControl/>
        <w:spacing w:line="4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sz w:val="24"/>
          <w:szCs w:val="24"/>
        </w:rPr>
        <w:t>（4）</w:t>
      </w:r>
      <w:r>
        <w:rPr>
          <w:rFonts w:hint="eastAsia" w:ascii="宋体" w:hAnsi="宋体" w:cs="宋体"/>
          <w:color w:val="000000"/>
          <w:kern w:val="0"/>
          <w:sz w:val="24"/>
          <w:szCs w:val="24"/>
        </w:rPr>
        <w:t>认真搞好本岗位环境卫生，若有不合格处，酌情处理；</w:t>
      </w:r>
    </w:p>
    <w:p w14:paraId="22BDB4E3">
      <w:pPr>
        <w:widowControl/>
        <w:spacing w:line="4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sz w:val="24"/>
          <w:szCs w:val="24"/>
        </w:rPr>
        <w:t>（5）</w:t>
      </w:r>
      <w:r>
        <w:rPr>
          <w:rFonts w:hint="eastAsia" w:ascii="宋体" w:hAnsi="宋体" w:cs="宋体"/>
          <w:color w:val="000000"/>
          <w:kern w:val="0"/>
          <w:sz w:val="24"/>
          <w:szCs w:val="24"/>
        </w:rPr>
        <w:t>外出请假，请假不超假；尽职尽责，认真搞好本职工作；上班不看书阅报，不与人闲谈；不吃东西，不放闲杂人等进入岗亭；监督维护本责任区内卫生。若有不合格处，酌情处理；</w:t>
      </w:r>
    </w:p>
    <w:p w14:paraId="62D11FFD">
      <w:pPr>
        <w:widowControl/>
        <w:spacing w:line="4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sz w:val="24"/>
          <w:szCs w:val="24"/>
        </w:rPr>
        <w:t>（6）</w:t>
      </w:r>
      <w:r>
        <w:rPr>
          <w:rFonts w:hint="eastAsia" w:ascii="宋体" w:hAnsi="宋体" w:cs="宋体"/>
          <w:color w:val="000000"/>
          <w:kern w:val="0"/>
          <w:sz w:val="24"/>
          <w:szCs w:val="24"/>
        </w:rPr>
        <w:t>完成采购单位交办的临时性工作。</w:t>
      </w:r>
    </w:p>
    <w:p w14:paraId="0BC50E3F">
      <w:pPr>
        <w:autoSpaceDE w:val="0"/>
        <w:autoSpaceDN w:val="0"/>
        <w:spacing w:line="400" w:lineRule="exact"/>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二、评分考核办法</w:t>
      </w:r>
    </w:p>
    <w:p w14:paraId="21C0387E">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1.每月由采购方负责人按《保安工作月检表》项目，逐一对保安人员进行考核，考核共分六项：前四项每项A为20分、B为18分、C为16分、D为14分、E为12分；后两项每项A为10分、B为8分、C为6分、D为4分、E为2分。</w:t>
      </w:r>
    </w:p>
    <w:p w14:paraId="6643F6B0">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总分为100分，91~100分为A、81~90分为B、71~80分为C、61~70分为D、60分以下为E。</w:t>
      </w:r>
    </w:p>
    <w:p w14:paraId="585BB1A0">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对安保人员考核平均分为A，全额拨付月度安保费用。如考核平均分为B，扣5%月度安保费用。如考核平均分为C，扣15%月度安保费用。如考核平均分为D，扣30%月度安保费用，并发整改通知书。如考核平均分为E，扣50%月度安保费用，并劝退保安服务。所扣费用不予退还中标方。</w:t>
      </w:r>
    </w:p>
    <w:p w14:paraId="50BA3259">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2.日常考核细则</w:t>
      </w:r>
    </w:p>
    <w:p w14:paraId="122A5767">
      <w:pPr>
        <w:autoSpaceDE w:val="0"/>
        <w:autoSpaceDN w:val="0"/>
        <w:spacing w:line="4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公司职能部门指定或交办的卫生清扫、环境整理不符标准要求或被上级检查不合格的，一次（处）扣罚50元；车辆未按规定停放或秩序较乱一次（处）扣罚50元；值班部位脏乱差被查或反映属实，一次（处）扣50元；未按规定巡查检查或每日固定工作（启闭饮水机、登记来访车辆人员、来访人员擅自进入公司大楼等）不到位情况，每次扣50元，情节严重或因工作不力导致恶劣影响的，视情扣罚当月安保服务费用；其它不明事项因安保主观原因导致上级检查通报并责令整改的，解除安保协议，当月安保服务费用直接扣除。</w:t>
      </w:r>
    </w:p>
    <w:p w14:paraId="7D67C070">
      <w:pPr>
        <w:pStyle w:val="10"/>
        <w:snapToGrid w:val="0"/>
        <w:spacing w:line="440" w:lineRule="exact"/>
        <w:rPr>
          <w:rFonts w:hint="eastAsia" w:ascii="宋体" w:hAnsi="宋体" w:cs="宋体"/>
          <w:color w:val="auto"/>
          <w:szCs w:val="24"/>
          <w:u w:val="single"/>
        </w:rPr>
      </w:pPr>
    </w:p>
    <w:sectPr>
      <w:pgSz w:w="11906" w:h="16838"/>
      <w:pgMar w:top="1440" w:right="1080" w:bottom="1440" w:left="108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方正书宋_GBK">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F778">
    <w:pPr>
      <w:pStyle w:val="17"/>
      <w:jc w:val="center"/>
    </w:pPr>
  </w:p>
  <w:p w14:paraId="3016873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BC242">
    <w:pPr>
      <w:pStyle w:val="17"/>
      <w:framePr w:wrap="around" w:vAnchor="text" w:hAnchor="margin" w:xAlign="center" w:y="1"/>
      <w:rPr>
        <w:rStyle w:val="30"/>
      </w:rPr>
    </w:pPr>
    <w:r>
      <w:rPr>
        <w:rStyle w:val="30"/>
      </w:rPr>
      <w:fldChar w:fldCharType="begin"/>
    </w:r>
    <w:r>
      <w:rPr>
        <w:rStyle w:val="30"/>
      </w:rPr>
      <w:instrText xml:space="preserve">PAGE  </w:instrText>
    </w:r>
    <w:r>
      <w:rPr>
        <w:rStyle w:val="30"/>
      </w:rPr>
      <w:fldChar w:fldCharType="end"/>
    </w:r>
  </w:p>
  <w:p w14:paraId="5F88309F">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B27AC">
    <w:pPr>
      <w:pStyle w:val="17"/>
      <w:jc w:val="center"/>
    </w:pPr>
  </w:p>
  <w:p w14:paraId="622DDE0E">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C094">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6" name="文本框 1"/>
              <wp:cNvGraphicFramePr/>
              <a:graphic xmlns:a="http://schemas.openxmlformats.org/drawingml/2006/main">
                <a:graphicData uri="http://schemas.microsoft.com/office/word/2010/wordprocessingShape">
                  <wps:wsp>
                    <wps:cNvSpPr txBox="1"/>
                    <wps:spPr bwMode="auto">
                      <a:xfrm>
                        <a:off x="0" y="0"/>
                        <a:ext cx="58420" cy="139700"/>
                      </a:xfrm>
                      <a:prstGeom prst="rect">
                        <a:avLst/>
                      </a:prstGeom>
                      <a:noFill/>
                      <a:ln>
                        <a:noFill/>
                      </a:ln>
                      <a:effectLst/>
                    </wps:spPr>
                    <wps:txbx>
                      <w:txbxContent>
                        <w:p w14:paraId="6043ED1E">
                          <w:pPr>
                            <w:pStyle w:val="17"/>
                          </w:pPr>
                          <w:r>
                            <w:fldChar w:fldCharType="begin"/>
                          </w:r>
                          <w:r>
                            <w:instrText xml:space="preserve"> PAGE  \* MERGEFORMAT </w:instrText>
                          </w:r>
                          <w:r>
                            <w:fldChar w:fldCharType="separate"/>
                          </w:r>
                          <w:r>
                            <w:t>0</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tbuXfQAAAAAgEAAA8AAAAAAAAAAQAgAAAAIgAAAGRycy9kb3ducmV2LnhtbFBLAQIUABQAAAAI&#10;AIdO4kAvzPNb9QEAAN8DAAAOAAAAAAAAAAEAIAAAAB8BAABkcnMvZTJvRG9jLnhtbFBLBQYAAAAA&#10;BgAGAFkBAACGBQAAAAA=&#10;">
              <v:fill on="f" focussize="0,0"/>
              <v:stroke on="f"/>
              <v:imagedata o:title=""/>
              <o:lock v:ext="edit" aspectratio="f"/>
              <v:textbox inset="0mm,0mm,0mm,0mm" style="mso-fit-shape-to-text:t;">
                <w:txbxContent>
                  <w:p w14:paraId="6043ED1E">
                    <w:pPr>
                      <w:pStyle w:val="1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83CDF">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17145" b="12700"/>
              <wp:wrapNone/>
              <wp:docPr id="1" name="文本框 17"/>
              <wp:cNvGraphicFramePr/>
              <a:graphic xmlns:a="http://schemas.openxmlformats.org/drawingml/2006/main">
                <a:graphicData uri="http://schemas.microsoft.com/office/word/2010/wordprocessingShape">
                  <wps:wsp>
                    <wps:cNvSpPr txBox="1"/>
                    <wps:spPr bwMode="auto">
                      <a:xfrm>
                        <a:off x="0" y="0"/>
                        <a:ext cx="116205" cy="139700"/>
                      </a:xfrm>
                      <a:prstGeom prst="rect">
                        <a:avLst/>
                      </a:prstGeom>
                      <a:noFill/>
                      <a:ln>
                        <a:noFill/>
                      </a:ln>
                      <a:effectLst/>
                    </wps:spPr>
                    <wps:txbx>
                      <w:txbxContent>
                        <w:p w14:paraId="1668FC92">
                          <w:pPr>
                            <w:pStyle w:val="17"/>
                          </w:pPr>
                          <w:r>
                            <w:fldChar w:fldCharType="begin"/>
                          </w:r>
                          <w:r>
                            <w:instrText xml:space="preserve"> PAGE  \* MERGEFORMAT </w:instrText>
                          </w:r>
                          <w:r>
                            <w:fldChar w:fldCharType="separate"/>
                          </w:r>
                          <w:r>
                            <w:t>25</w:t>
                          </w:r>
                          <w:r>
                            <w:fldChar w:fldCharType="end"/>
                          </w:r>
                        </w:p>
                      </w:txbxContent>
                    </wps:txbx>
                    <wps:bodyPr rot="0" vert="horz" wrap="none" lIns="0" tIns="0" rIns="0" bIns="0" anchor="t" anchorCtr="0" upright="1">
                      <a:spAutoFit/>
                    </wps:bodyPr>
                  </wps:wsp>
                </a:graphicData>
              </a:graphic>
            </wp:anchor>
          </w:drawing>
        </mc:Choice>
        <mc:Fallback>
          <w:pict>
            <v:shape id="文本框 17"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YulhTQAAAAAwEAAA8AAAAAAAAAAQAgAAAAIgAAAGRycy9kb3ducmV2LnhtbFBLAQIUABQAAAAI&#10;AIdO4kD8sF1A9QEAAOEDAAAOAAAAAAAAAAEAIAAAAB8BAABkcnMvZTJvRG9jLnhtbFBLBQYAAAAA&#10;BgAGAFkBAACGBQAAAAA=&#10;">
              <v:fill on="f" focussize="0,0"/>
              <v:stroke on="f"/>
              <v:imagedata o:title=""/>
              <o:lock v:ext="edit" aspectratio="f"/>
              <v:textbox inset="0mm,0mm,0mm,0mm" style="mso-fit-shape-to-text:t;">
                <w:txbxContent>
                  <w:p w14:paraId="1668FC92">
                    <w:pPr>
                      <w:pStyle w:val="17"/>
                    </w:pPr>
                    <w:r>
                      <w:fldChar w:fldCharType="begin"/>
                    </w:r>
                    <w:r>
                      <w:instrText xml:space="preserve"> PAGE  \* MERGEFORMAT </w:instrText>
                    </w:r>
                    <w:r>
                      <w:fldChar w:fldCharType="separate"/>
                    </w:r>
                    <w:r>
                      <w:t>25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-311150</wp:posOffset>
              </wp:positionV>
              <wp:extent cx="114935" cy="441960"/>
              <wp:effectExtent l="0" t="0" r="18415" b="15240"/>
              <wp:wrapNone/>
              <wp:docPr id="4" name="文本框 4"/>
              <wp:cNvGraphicFramePr/>
              <a:graphic xmlns:a="http://schemas.openxmlformats.org/drawingml/2006/main">
                <a:graphicData uri="http://schemas.microsoft.com/office/word/2010/wordprocessingShape">
                  <wps:wsp>
                    <wps:cNvSpPr txBox="1"/>
                    <wps:spPr>
                      <a:xfrm>
                        <a:off x="0" y="0"/>
                        <a:ext cx="114935" cy="441960"/>
                      </a:xfrm>
                      <a:prstGeom prst="rect">
                        <a:avLst/>
                      </a:prstGeom>
                      <a:noFill/>
                      <a:ln>
                        <a:noFill/>
                      </a:ln>
                      <a:effectLst/>
                    </wps:spPr>
                    <wps:txbx>
                      <w:txbxContent>
                        <w:p w14:paraId="380DEF05">
                          <w:pPr>
                            <w:pStyle w:val="17"/>
                          </w:pPr>
                        </w:p>
                        <w:p w14:paraId="0997738D">
                          <w:pPr>
                            <w:pStyle w:val="17"/>
                          </w:pPr>
                        </w:p>
                        <w:p w14:paraId="1238AECF"/>
                      </w:txbxContent>
                    </wps:txbx>
                    <wps:bodyPr wrap="none" lIns="0" tIns="0" rIns="0" bIns="0">
                      <a:spAutoFit/>
                    </wps:bodyPr>
                  </wps:wsp>
                </a:graphicData>
              </a:graphic>
            </wp:anchor>
          </w:drawing>
        </mc:Choice>
        <mc:Fallback>
          <w:pict>
            <v:shape id="_x0000_s1026" o:spid="_x0000_s1026" o:spt="202" type="#_x0000_t202" style="position:absolute;left:0pt;margin-top:-24.5pt;height:34.8pt;width:9.05pt;mso-position-horizontal:center;mso-position-horizontal-relative:margin;mso-wrap-style:none;z-index:251659264;mso-width-relative:page;mso-height-relative:page;" filled="f" stroked="f" coordsize="21600,21600" o:gfxdata="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UbUYNMAAAAGAQAADwAAAAAAAAABACAAAAAiAAAAZHJzL2Rv&#10;d25yZXYueG1sUEsBAhQAFAAAAAgAh07iQItY/xDNAQAAmQMAAA4AAAAAAAAAAQAgAAAAIgEAAGRy&#10;cy9lMm9Eb2MueG1sUEsFBgAAAAAGAAYAWQEAAGEFAAAAAA==&#10;">
              <v:fill on="f" focussize="0,0"/>
              <v:stroke on="f"/>
              <v:imagedata o:title=""/>
              <o:lock v:ext="edit" aspectratio="f"/>
              <v:textbox inset="0mm,0mm,0mm,0mm" style="mso-fit-shape-to-text:t;">
                <w:txbxContent>
                  <w:p w14:paraId="380DEF05">
                    <w:pPr>
                      <w:pStyle w:val="17"/>
                    </w:pPr>
                  </w:p>
                  <w:p w14:paraId="0997738D">
                    <w:pPr>
                      <w:pStyle w:val="17"/>
                    </w:pPr>
                  </w:p>
                  <w:p w14:paraId="1238AECF"/>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99AF7">
    <w:pPr>
      <w:pStyle w:val="17"/>
      <w:ind w:firstLine="90" w:firstLineChars="50"/>
      <w:jc w:val="center"/>
    </w:pPr>
    <w:r>
      <w:rPr>
        <w:szCs w:val="21"/>
      </w:rPr>
      <w:fldChar w:fldCharType="begin"/>
    </w:r>
    <w:r>
      <w:rPr>
        <w:szCs w:val="21"/>
      </w:rPr>
      <w:instrText xml:space="preserve"> PAGE </w:instrText>
    </w:r>
    <w:r>
      <w:rPr>
        <w:szCs w:val="21"/>
      </w:rPr>
      <w:fldChar w:fldCharType="separate"/>
    </w:r>
    <w:r>
      <w:rPr>
        <w:szCs w:val="21"/>
      </w:rPr>
      <w:t>162</w:t>
    </w:r>
    <w:r>
      <w:rPr>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6AF2C">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A067A">
    <w:pPr>
      <w:pStyle w:val="19"/>
      <w:pBdr>
        <w:bottom w:val="none" w:color="auto" w:sz="0" w:space="0"/>
      </w:pBd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454EA">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8C202">
    <w:pPr>
      <w:spacing w:line="320" w:lineRule="atLeast"/>
      <w:jc w:val="center"/>
    </w:pPr>
  </w:p>
  <w:p w14:paraId="220778DB">
    <w:pPr>
      <w:spacing w:line="320" w:lineRule="atLeast"/>
      <w:ind w:right="-82" w:rightChars="-39"/>
      <w:jc w:val="center"/>
      <w:rPr>
        <w:sz w:val="15"/>
        <w:szCs w:val="15"/>
      </w:rPr>
    </w:pPr>
  </w:p>
  <w:p w14:paraId="13B430E5">
    <w:pPr>
      <w:spacing w:line="320" w:lineRule="atLeast"/>
      <w:ind w:right="-82" w:rightChars="-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E1380"/>
    <w:multiLevelType w:val="singleLevel"/>
    <w:tmpl w:val="8EFE1380"/>
    <w:lvl w:ilvl="0" w:tentative="0">
      <w:start w:val="1"/>
      <w:numFmt w:val="decimal"/>
      <w:suff w:val="nothing"/>
      <w:lvlText w:val="（%1）"/>
      <w:lvlJc w:val="left"/>
    </w:lvl>
  </w:abstractNum>
  <w:abstractNum w:abstractNumId="1">
    <w:nsid w:val="4F06F550"/>
    <w:multiLevelType w:val="singleLevel"/>
    <w:tmpl w:val="4F06F55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3MDJmZTM5OTEwNGJlZmU0YWZmNjk1MjMwYmUyNGQifQ=="/>
  </w:docVars>
  <w:rsids>
    <w:rsidRoot w:val="00B87A4A"/>
    <w:rsid w:val="00001B25"/>
    <w:rsid w:val="00002D71"/>
    <w:rsid w:val="0000773B"/>
    <w:rsid w:val="00007A30"/>
    <w:rsid w:val="0001236A"/>
    <w:rsid w:val="000123C3"/>
    <w:rsid w:val="00013878"/>
    <w:rsid w:val="000141E9"/>
    <w:rsid w:val="00015981"/>
    <w:rsid w:val="00016BEA"/>
    <w:rsid w:val="00017001"/>
    <w:rsid w:val="0002188B"/>
    <w:rsid w:val="00021CF5"/>
    <w:rsid w:val="00023FF0"/>
    <w:rsid w:val="00026237"/>
    <w:rsid w:val="0002649A"/>
    <w:rsid w:val="00026AFA"/>
    <w:rsid w:val="00030C4F"/>
    <w:rsid w:val="00031677"/>
    <w:rsid w:val="00033FDE"/>
    <w:rsid w:val="00034C0D"/>
    <w:rsid w:val="00034CD3"/>
    <w:rsid w:val="000350BE"/>
    <w:rsid w:val="00035A46"/>
    <w:rsid w:val="00040CAE"/>
    <w:rsid w:val="00043B38"/>
    <w:rsid w:val="0004465E"/>
    <w:rsid w:val="000450C7"/>
    <w:rsid w:val="00045456"/>
    <w:rsid w:val="00045E9C"/>
    <w:rsid w:val="00050E09"/>
    <w:rsid w:val="00052534"/>
    <w:rsid w:val="00052B72"/>
    <w:rsid w:val="0005506A"/>
    <w:rsid w:val="000551F2"/>
    <w:rsid w:val="0005648E"/>
    <w:rsid w:val="00056A2C"/>
    <w:rsid w:val="00056C62"/>
    <w:rsid w:val="00057000"/>
    <w:rsid w:val="00057107"/>
    <w:rsid w:val="000611BE"/>
    <w:rsid w:val="000639B4"/>
    <w:rsid w:val="000641D8"/>
    <w:rsid w:val="000664D9"/>
    <w:rsid w:val="00071DBA"/>
    <w:rsid w:val="00076AAE"/>
    <w:rsid w:val="00077C68"/>
    <w:rsid w:val="00080C86"/>
    <w:rsid w:val="0008190B"/>
    <w:rsid w:val="000828CE"/>
    <w:rsid w:val="00083C6E"/>
    <w:rsid w:val="00084ABA"/>
    <w:rsid w:val="000862CF"/>
    <w:rsid w:val="00087E96"/>
    <w:rsid w:val="00090219"/>
    <w:rsid w:val="00092114"/>
    <w:rsid w:val="000937DC"/>
    <w:rsid w:val="00096079"/>
    <w:rsid w:val="00096D66"/>
    <w:rsid w:val="00097490"/>
    <w:rsid w:val="000A27E0"/>
    <w:rsid w:val="000A36C6"/>
    <w:rsid w:val="000A398B"/>
    <w:rsid w:val="000A4739"/>
    <w:rsid w:val="000A65C6"/>
    <w:rsid w:val="000A7668"/>
    <w:rsid w:val="000A78BF"/>
    <w:rsid w:val="000A7C23"/>
    <w:rsid w:val="000B1962"/>
    <w:rsid w:val="000B3181"/>
    <w:rsid w:val="000C1BED"/>
    <w:rsid w:val="000C6B38"/>
    <w:rsid w:val="000C7145"/>
    <w:rsid w:val="000D0AE5"/>
    <w:rsid w:val="000D2DE7"/>
    <w:rsid w:val="000D3DCF"/>
    <w:rsid w:val="000D4EC6"/>
    <w:rsid w:val="000D7292"/>
    <w:rsid w:val="000E42FB"/>
    <w:rsid w:val="000E7073"/>
    <w:rsid w:val="000E7F89"/>
    <w:rsid w:val="000F041B"/>
    <w:rsid w:val="000F094E"/>
    <w:rsid w:val="000F0CD4"/>
    <w:rsid w:val="000F1A93"/>
    <w:rsid w:val="000F27F7"/>
    <w:rsid w:val="000F3B71"/>
    <w:rsid w:val="000F75C3"/>
    <w:rsid w:val="001056FC"/>
    <w:rsid w:val="001069F9"/>
    <w:rsid w:val="00110A62"/>
    <w:rsid w:val="00111C60"/>
    <w:rsid w:val="001206AA"/>
    <w:rsid w:val="00121324"/>
    <w:rsid w:val="00123091"/>
    <w:rsid w:val="0013005C"/>
    <w:rsid w:val="00130C21"/>
    <w:rsid w:val="00131DAB"/>
    <w:rsid w:val="00131EC8"/>
    <w:rsid w:val="00132168"/>
    <w:rsid w:val="0013654E"/>
    <w:rsid w:val="00142DBD"/>
    <w:rsid w:val="0014474D"/>
    <w:rsid w:val="001504D4"/>
    <w:rsid w:val="00154367"/>
    <w:rsid w:val="001557CD"/>
    <w:rsid w:val="0016111C"/>
    <w:rsid w:val="001657CB"/>
    <w:rsid w:val="001711EB"/>
    <w:rsid w:val="00175531"/>
    <w:rsid w:val="00183508"/>
    <w:rsid w:val="00183C7C"/>
    <w:rsid w:val="00187F93"/>
    <w:rsid w:val="00190A76"/>
    <w:rsid w:val="00190CC6"/>
    <w:rsid w:val="001977E2"/>
    <w:rsid w:val="001A0702"/>
    <w:rsid w:val="001A2B5E"/>
    <w:rsid w:val="001B345F"/>
    <w:rsid w:val="001B3F64"/>
    <w:rsid w:val="001B4532"/>
    <w:rsid w:val="001B600D"/>
    <w:rsid w:val="001B604E"/>
    <w:rsid w:val="001B6E3C"/>
    <w:rsid w:val="001C1ABB"/>
    <w:rsid w:val="001C6169"/>
    <w:rsid w:val="001C629C"/>
    <w:rsid w:val="001C6BB6"/>
    <w:rsid w:val="001C6C03"/>
    <w:rsid w:val="001D62F6"/>
    <w:rsid w:val="001D760B"/>
    <w:rsid w:val="001E1A86"/>
    <w:rsid w:val="001E3508"/>
    <w:rsid w:val="001E3AFB"/>
    <w:rsid w:val="001E5772"/>
    <w:rsid w:val="001E5D64"/>
    <w:rsid w:val="001F0AFB"/>
    <w:rsid w:val="001F2781"/>
    <w:rsid w:val="001F33E8"/>
    <w:rsid w:val="001F5267"/>
    <w:rsid w:val="001F5C31"/>
    <w:rsid w:val="001F623E"/>
    <w:rsid w:val="00210C14"/>
    <w:rsid w:val="0021345E"/>
    <w:rsid w:val="00221A05"/>
    <w:rsid w:val="00224A56"/>
    <w:rsid w:val="00227D26"/>
    <w:rsid w:val="00231A7D"/>
    <w:rsid w:val="00232319"/>
    <w:rsid w:val="00233994"/>
    <w:rsid w:val="00234F4E"/>
    <w:rsid w:val="0024062D"/>
    <w:rsid w:val="00241447"/>
    <w:rsid w:val="002448A8"/>
    <w:rsid w:val="00245B23"/>
    <w:rsid w:val="00247E7D"/>
    <w:rsid w:val="00250103"/>
    <w:rsid w:val="00250F4C"/>
    <w:rsid w:val="0025264B"/>
    <w:rsid w:val="00252B5D"/>
    <w:rsid w:val="002552F3"/>
    <w:rsid w:val="00255682"/>
    <w:rsid w:val="00260635"/>
    <w:rsid w:val="002665DB"/>
    <w:rsid w:val="0026763B"/>
    <w:rsid w:val="002747CD"/>
    <w:rsid w:val="0027535B"/>
    <w:rsid w:val="00277E5C"/>
    <w:rsid w:val="00280777"/>
    <w:rsid w:val="002810A5"/>
    <w:rsid w:val="00281D11"/>
    <w:rsid w:val="00283A49"/>
    <w:rsid w:val="002849A5"/>
    <w:rsid w:val="0029043E"/>
    <w:rsid w:val="002909DD"/>
    <w:rsid w:val="00293420"/>
    <w:rsid w:val="002944C4"/>
    <w:rsid w:val="00297384"/>
    <w:rsid w:val="002A008C"/>
    <w:rsid w:val="002A01A5"/>
    <w:rsid w:val="002A0985"/>
    <w:rsid w:val="002A0BBF"/>
    <w:rsid w:val="002A0EAE"/>
    <w:rsid w:val="002A1BB2"/>
    <w:rsid w:val="002A1C34"/>
    <w:rsid w:val="002A4D56"/>
    <w:rsid w:val="002B247F"/>
    <w:rsid w:val="002B2BCD"/>
    <w:rsid w:val="002B3633"/>
    <w:rsid w:val="002B59B1"/>
    <w:rsid w:val="002C02C1"/>
    <w:rsid w:val="002C0D02"/>
    <w:rsid w:val="002C0FA7"/>
    <w:rsid w:val="002C1A82"/>
    <w:rsid w:val="002C3DAC"/>
    <w:rsid w:val="002C4EA0"/>
    <w:rsid w:val="002C509A"/>
    <w:rsid w:val="002C5AA9"/>
    <w:rsid w:val="002C6197"/>
    <w:rsid w:val="002D0125"/>
    <w:rsid w:val="002D0AC9"/>
    <w:rsid w:val="002D19CD"/>
    <w:rsid w:val="002D6898"/>
    <w:rsid w:val="002E39BF"/>
    <w:rsid w:val="002E6BD0"/>
    <w:rsid w:val="002F0B68"/>
    <w:rsid w:val="002F13F3"/>
    <w:rsid w:val="00301F41"/>
    <w:rsid w:val="0030286A"/>
    <w:rsid w:val="00302F5B"/>
    <w:rsid w:val="00303AE2"/>
    <w:rsid w:val="00306A9A"/>
    <w:rsid w:val="00306D31"/>
    <w:rsid w:val="00306FD4"/>
    <w:rsid w:val="00310768"/>
    <w:rsid w:val="00315338"/>
    <w:rsid w:val="00315A82"/>
    <w:rsid w:val="0031717A"/>
    <w:rsid w:val="003176A4"/>
    <w:rsid w:val="00321A8E"/>
    <w:rsid w:val="00326C18"/>
    <w:rsid w:val="00340BC4"/>
    <w:rsid w:val="003412D9"/>
    <w:rsid w:val="003445A7"/>
    <w:rsid w:val="0034767A"/>
    <w:rsid w:val="00350180"/>
    <w:rsid w:val="00355B9B"/>
    <w:rsid w:val="00355ED9"/>
    <w:rsid w:val="0035666B"/>
    <w:rsid w:val="00357EEE"/>
    <w:rsid w:val="00361B53"/>
    <w:rsid w:val="00361E7B"/>
    <w:rsid w:val="00362421"/>
    <w:rsid w:val="003701AE"/>
    <w:rsid w:val="0037144F"/>
    <w:rsid w:val="003736A5"/>
    <w:rsid w:val="00375E4E"/>
    <w:rsid w:val="0037631D"/>
    <w:rsid w:val="00377CCE"/>
    <w:rsid w:val="00382098"/>
    <w:rsid w:val="0038268C"/>
    <w:rsid w:val="0038317B"/>
    <w:rsid w:val="003926C8"/>
    <w:rsid w:val="003952DD"/>
    <w:rsid w:val="003963ED"/>
    <w:rsid w:val="003970BF"/>
    <w:rsid w:val="003A2FBC"/>
    <w:rsid w:val="003A5B98"/>
    <w:rsid w:val="003B73AC"/>
    <w:rsid w:val="003C61A2"/>
    <w:rsid w:val="003C62A1"/>
    <w:rsid w:val="003C699B"/>
    <w:rsid w:val="003D225F"/>
    <w:rsid w:val="003D4474"/>
    <w:rsid w:val="003D7D34"/>
    <w:rsid w:val="003D7FA2"/>
    <w:rsid w:val="003E7F21"/>
    <w:rsid w:val="003F0361"/>
    <w:rsid w:val="003F0715"/>
    <w:rsid w:val="003F4518"/>
    <w:rsid w:val="003F4643"/>
    <w:rsid w:val="003F4FD2"/>
    <w:rsid w:val="003F56DD"/>
    <w:rsid w:val="003F7018"/>
    <w:rsid w:val="004019E2"/>
    <w:rsid w:val="00401FA7"/>
    <w:rsid w:val="00402831"/>
    <w:rsid w:val="004075AA"/>
    <w:rsid w:val="00410B9C"/>
    <w:rsid w:val="00412386"/>
    <w:rsid w:val="0041295E"/>
    <w:rsid w:val="00414C33"/>
    <w:rsid w:val="00414D87"/>
    <w:rsid w:val="004207D0"/>
    <w:rsid w:val="00422523"/>
    <w:rsid w:val="00422B2F"/>
    <w:rsid w:val="0042326D"/>
    <w:rsid w:val="004265A1"/>
    <w:rsid w:val="00426658"/>
    <w:rsid w:val="00426915"/>
    <w:rsid w:val="0042752E"/>
    <w:rsid w:val="00430710"/>
    <w:rsid w:val="0043106F"/>
    <w:rsid w:val="00431C61"/>
    <w:rsid w:val="00431DC0"/>
    <w:rsid w:val="004343B6"/>
    <w:rsid w:val="00437D4C"/>
    <w:rsid w:val="00440C3B"/>
    <w:rsid w:val="0044220E"/>
    <w:rsid w:val="004422C2"/>
    <w:rsid w:val="00444F25"/>
    <w:rsid w:val="004514CF"/>
    <w:rsid w:val="004519DA"/>
    <w:rsid w:val="00460DC5"/>
    <w:rsid w:val="00460F75"/>
    <w:rsid w:val="00462F49"/>
    <w:rsid w:val="004641A7"/>
    <w:rsid w:val="00471844"/>
    <w:rsid w:val="004722F1"/>
    <w:rsid w:val="0047280A"/>
    <w:rsid w:val="00473D96"/>
    <w:rsid w:val="00474CA3"/>
    <w:rsid w:val="00477F5C"/>
    <w:rsid w:val="00480499"/>
    <w:rsid w:val="00480601"/>
    <w:rsid w:val="0048099F"/>
    <w:rsid w:val="0048101A"/>
    <w:rsid w:val="004841DD"/>
    <w:rsid w:val="004849B7"/>
    <w:rsid w:val="00484ABA"/>
    <w:rsid w:val="00487AA2"/>
    <w:rsid w:val="00487D86"/>
    <w:rsid w:val="00491003"/>
    <w:rsid w:val="004930F4"/>
    <w:rsid w:val="0049448D"/>
    <w:rsid w:val="00497C24"/>
    <w:rsid w:val="004A0F79"/>
    <w:rsid w:val="004A29A0"/>
    <w:rsid w:val="004A2BAA"/>
    <w:rsid w:val="004A5524"/>
    <w:rsid w:val="004A6BB3"/>
    <w:rsid w:val="004B027C"/>
    <w:rsid w:val="004B038B"/>
    <w:rsid w:val="004B0D46"/>
    <w:rsid w:val="004B1B68"/>
    <w:rsid w:val="004B20A5"/>
    <w:rsid w:val="004B3579"/>
    <w:rsid w:val="004B5379"/>
    <w:rsid w:val="004B628A"/>
    <w:rsid w:val="004B7A55"/>
    <w:rsid w:val="004C16AD"/>
    <w:rsid w:val="004C5CFC"/>
    <w:rsid w:val="004C7251"/>
    <w:rsid w:val="004C7E4F"/>
    <w:rsid w:val="004D086A"/>
    <w:rsid w:val="004D14CF"/>
    <w:rsid w:val="004D1FC2"/>
    <w:rsid w:val="004D4D17"/>
    <w:rsid w:val="004D4EFE"/>
    <w:rsid w:val="004D7037"/>
    <w:rsid w:val="004D7725"/>
    <w:rsid w:val="004E1CDB"/>
    <w:rsid w:val="004E3EFB"/>
    <w:rsid w:val="004E5671"/>
    <w:rsid w:val="004E5D0A"/>
    <w:rsid w:val="004F03BF"/>
    <w:rsid w:val="004F1DBB"/>
    <w:rsid w:val="004F1EFD"/>
    <w:rsid w:val="004F2051"/>
    <w:rsid w:val="004F22C4"/>
    <w:rsid w:val="004F5975"/>
    <w:rsid w:val="00504E9C"/>
    <w:rsid w:val="00505856"/>
    <w:rsid w:val="00505E96"/>
    <w:rsid w:val="00506E65"/>
    <w:rsid w:val="005079E6"/>
    <w:rsid w:val="0051289F"/>
    <w:rsid w:val="00512D85"/>
    <w:rsid w:val="00512E33"/>
    <w:rsid w:val="005146B4"/>
    <w:rsid w:val="005212A4"/>
    <w:rsid w:val="005215FD"/>
    <w:rsid w:val="005239A4"/>
    <w:rsid w:val="005307E8"/>
    <w:rsid w:val="00530BE0"/>
    <w:rsid w:val="0053212E"/>
    <w:rsid w:val="0053729B"/>
    <w:rsid w:val="00537D4D"/>
    <w:rsid w:val="00541BDF"/>
    <w:rsid w:val="00542B4E"/>
    <w:rsid w:val="00544AEC"/>
    <w:rsid w:val="00544F4A"/>
    <w:rsid w:val="005462CC"/>
    <w:rsid w:val="00546FDF"/>
    <w:rsid w:val="005477F3"/>
    <w:rsid w:val="00570017"/>
    <w:rsid w:val="00570FE9"/>
    <w:rsid w:val="00572682"/>
    <w:rsid w:val="00572C28"/>
    <w:rsid w:val="005777A5"/>
    <w:rsid w:val="00582082"/>
    <w:rsid w:val="0058350C"/>
    <w:rsid w:val="00583844"/>
    <w:rsid w:val="00584DBC"/>
    <w:rsid w:val="00587294"/>
    <w:rsid w:val="0058760A"/>
    <w:rsid w:val="0059095B"/>
    <w:rsid w:val="00593AA4"/>
    <w:rsid w:val="005945C6"/>
    <w:rsid w:val="00594A11"/>
    <w:rsid w:val="00595FC0"/>
    <w:rsid w:val="0059673D"/>
    <w:rsid w:val="005A0AC5"/>
    <w:rsid w:val="005A28C2"/>
    <w:rsid w:val="005A438E"/>
    <w:rsid w:val="005A6C5B"/>
    <w:rsid w:val="005B0D78"/>
    <w:rsid w:val="005B125F"/>
    <w:rsid w:val="005B12F7"/>
    <w:rsid w:val="005B1CBE"/>
    <w:rsid w:val="005B1D2F"/>
    <w:rsid w:val="005B2723"/>
    <w:rsid w:val="005B3473"/>
    <w:rsid w:val="005B45D2"/>
    <w:rsid w:val="005B6F99"/>
    <w:rsid w:val="005C157F"/>
    <w:rsid w:val="005C6EC3"/>
    <w:rsid w:val="005D6183"/>
    <w:rsid w:val="005D7362"/>
    <w:rsid w:val="005E4D8A"/>
    <w:rsid w:val="005F1D1E"/>
    <w:rsid w:val="005F21B3"/>
    <w:rsid w:val="005F2C2E"/>
    <w:rsid w:val="005F396B"/>
    <w:rsid w:val="005F70F9"/>
    <w:rsid w:val="00605287"/>
    <w:rsid w:val="0060576A"/>
    <w:rsid w:val="006067F5"/>
    <w:rsid w:val="00617700"/>
    <w:rsid w:val="00617F97"/>
    <w:rsid w:val="00621503"/>
    <w:rsid w:val="00621B83"/>
    <w:rsid w:val="00624B86"/>
    <w:rsid w:val="006316FE"/>
    <w:rsid w:val="006341B4"/>
    <w:rsid w:val="0063662B"/>
    <w:rsid w:val="00636DE9"/>
    <w:rsid w:val="00637CEB"/>
    <w:rsid w:val="00640DA8"/>
    <w:rsid w:val="0064144D"/>
    <w:rsid w:val="006431B4"/>
    <w:rsid w:val="00645FE5"/>
    <w:rsid w:val="006512AC"/>
    <w:rsid w:val="00652E8B"/>
    <w:rsid w:val="006538F8"/>
    <w:rsid w:val="006551C8"/>
    <w:rsid w:val="00655602"/>
    <w:rsid w:val="00657DD3"/>
    <w:rsid w:val="00660277"/>
    <w:rsid w:val="00660AAE"/>
    <w:rsid w:val="00664F3B"/>
    <w:rsid w:val="006661CB"/>
    <w:rsid w:val="00666A72"/>
    <w:rsid w:val="00670C72"/>
    <w:rsid w:val="00673A97"/>
    <w:rsid w:val="006758B6"/>
    <w:rsid w:val="00675A4F"/>
    <w:rsid w:val="00680BD9"/>
    <w:rsid w:val="00681AFF"/>
    <w:rsid w:val="006820A8"/>
    <w:rsid w:val="0068649D"/>
    <w:rsid w:val="00686C83"/>
    <w:rsid w:val="00686EAA"/>
    <w:rsid w:val="00687FD0"/>
    <w:rsid w:val="00691099"/>
    <w:rsid w:val="00691A18"/>
    <w:rsid w:val="00694C21"/>
    <w:rsid w:val="00697BA4"/>
    <w:rsid w:val="006A2380"/>
    <w:rsid w:val="006A4DC2"/>
    <w:rsid w:val="006A4FA6"/>
    <w:rsid w:val="006A5379"/>
    <w:rsid w:val="006A548A"/>
    <w:rsid w:val="006B03DE"/>
    <w:rsid w:val="006B121C"/>
    <w:rsid w:val="006B3E7B"/>
    <w:rsid w:val="006B4FE4"/>
    <w:rsid w:val="006B61D6"/>
    <w:rsid w:val="006B7244"/>
    <w:rsid w:val="006C097E"/>
    <w:rsid w:val="006C3A48"/>
    <w:rsid w:val="006C41A3"/>
    <w:rsid w:val="006C57E2"/>
    <w:rsid w:val="006C5A42"/>
    <w:rsid w:val="006C6C5A"/>
    <w:rsid w:val="006C7246"/>
    <w:rsid w:val="006D003A"/>
    <w:rsid w:val="006D1ABB"/>
    <w:rsid w:val="006D1E53"/>
    <w:rsid w:val="006D5034"/>
    <w:rsid w:val="006D50C4"/>
    <w:rsid w:val="006D5BE5"/>
    <w:rsid w:val="006D66B9"/>
    <w:rsid w:val="006D7906"/>
    <w:rsid w:val="006E0B86"/>
    <w:rsid w:val="006E21AB"/>
    <w:rsid w:val="006E32DD"/>
    <w:rsid w:val="006E4896"/>
    <w:rsid w:val="006E4EB9"/>
    <w:rsid w:val="006F126C"/>
    <w:rsid w:val="006F197B"/>
    <w:rsid w:val="006F1B05"/>
    <w:rsid w:val="006F25AB"/>
    <w:rsid w:val="006F2F45"/>
    <w:rsid w:val="006F545B"/>
    <w:rsid w:val="006F79C7"/>
    <w:rsid w:val="006F7A68"/>
    <w:rsid w:val="006F7CA6"/>
    <w:rsid w:val="00700EE7"/>
    <w:rsid w:val="007030F1"/>
    <w:rsid w:val="00703AED"/>
    <w:rsid w:val="007041C0"/>
    <w:rsid w:val="007061C5"/>
    <w:rsid w:val="007065B3"/>
    <w:rsid w:val="00707676"/>
    <w:rsid w:val="00711D85"/>
    <w:rsid w:val="00713E95"/>
    <w:rsid w:val="007164F8"/>
    <w:rsid w:val="00717619"/>
    <w:rsid w:val="00717FA7"/>
    <w:rsid w:val="00722AE0"/>
    <w:rsid w:val="00723164"/>
    <w:rsid w:val="00724566"/>
    <w:rsid w:val="00724876"/>
    <w:rsid w:val="00726CC3"/>
    <w:rsid w:val="00727ACC"/>
    <w:rsid w:val="00730B43"/>
    <w:rsid w:val="007346A4"/>
    <w:rsid w:val="007355ED"/>
    <w:rsid w:val="00735915"/>
    <w:rsid w:val="00735B8F"/>
    <w:rsid w:val="00743000"/>
    <w:rsid w:val="00744E3F"/>
    <w:rsid w:val="00750025"/>
    <w:rsid w:val="00751B89"/>
    <w:rsid w:val="00751ED9"/>
    <w:rsid w:val="00752E2B"/>
    <w:rsid w:val="007538C5"/>
    <w:rsid w:val="00753BD5"/>
    <w:rsid w:val="0075434F"/>
    <w:rsid w:val="00760C54"/>
    <w:rsid w:val="00762CA8"/>
    <w:rsid w:val="00763BE8"/>
    <w:rsid w:val="00765078"/>
    <w:rsid w:val="007654FB"/>
    <w:rsid w:val="00770EC1"/>
    <w:rsid w:val="0077358C"/>
    <w:rsid w:val="00776F22"/>
    <w:rsid w:val="0077745D"/>
    <w:rsid w:val="00786994"/>
    <w:rsid w:val="0079302E"/>
    <w:rsid w:val="00793979"/>
    <w:rsid w:val="007955CB"/>
    <w:rsid w:val="00795EF6"/>
    <w:rsid w:val="00796271"/>
    <w:rsid w:val="007971D1"/>
    <w:rsid w:val="007A1349"/>
    <w:rsid w:val="007A2703"/>
    <w:rsid w:val="007A611F"/>
    <w:rsid w:val="007B7664"/>
    <w:rsid w:val="007C53BF"/>
    <w:rsid w:val="007C578E"/>
    <w:rsid w:val="007C7220"/>
    <w:rsid w:val="007C75EB"/>
    <w:rsid w:val="007D0DA6"/>
    <w:rsid w:val="007D11DA"/>
    <w:rsid w:val="007E0B4D"/>
    <w:rsid w:val="007E0FCB"/>
    <w:rsid w:val="007E1D0C"/>
    <w:rsid w:val="007E1D11"/>
    <w:rsid w:val="007E2946"/>
    <w:rsid w:val="007E2F11"/>
    <w:rsid w:val="007E5C47"/>
    <w:rsid w:val="007E6303"/>
    <w:rsid w:val="007F1936"/>
    <w:rsid w:val="007F2028"/>
    <w:rsid w:val="007F53EA"/>
    <w:rsid w:val="007F6C67"/>
    <w:rsid w:val="00800B76"/>
    <w:rsid w:val="00801067"/>
    <w:rsid w:val="00802F80"/>
    <w:rsid w:val="00806AD1"/>
    <w:rsid w:val="00807999"/>
    <w:rsid w:val="0081215B"/>
    <w:rsid w:val="008123B4"/>
    <w:rsid w:val="0081683A"/>
    <w:rsid w:val="008173D6"/>
    <w:rsid w:val="00817821"/>
    <w:rsid w:val="0082345E"/>
    <w:rsid w:val="0082412B"/>
    <w:rsid w:val="00825377"/>
    <w:rsid w:val="0083059F"/>
    <w:rsid w:val="00833FD4"/>
    <w:rsid w:val="00837EE0"/>
    <w:rsid w:val="00840945"/>
    <w:rsid w:val="00842E89"/>
    <w:rsid w:val="00844B97"/>
    <w:rsid w:val="0084726E"/>
    <w:rsid w:val="00851C56"/>
    <w:rsid w:val="0085524B"/>
    <w:rsid w:val="00865BA0"/>
    <w:rsid w:val="0086657E"/>
    <w:rsid w:val="00866F16"/>
    <w:rsid w:val="0087181C"/>
    <w:rsid w:val="00874031"/>
    <w:rsid w:val="00875E0E"/>
    <w:rsid w:val="00875F47"/>
    <w:rsid w:val="0087681A"/>
    <w:rsid w:val="00877611"/>
    <w:rsid w:val="00893BA1"/>
    <w:rsid w:val="00897232"/>
    <w:rsid w:val="00897BCB"/>
    <w:rsid w:val="00897EF7"/>
    <w:rsid w:val="008A0113"/>
    <w:rsid w:val="008A1224"/>
    <w:rsid w:val="008A3255"/>
    <w:rsid w:val="008A3ADB"/>
    <w:rsid w:val="008A3CED"/>
    <w:rsid w:val="008A684B"/>
    <w:rsid w:val="008A7EA3"/>
    <w:rsid w:val="008B0F64"/>
    <w:rsid w:val="008B49F6"/>
    <w:rsid w:val="008B7CC8"/>
    <w:rsid w:val="008B7D04"/>
    <w:rsid w:val="008C389B"/>
    <w:rsid w:val="008C5C7D"/>
    <w:rsid w:val="008C66B4"/>
    <w:rsid w:val="008C6850"/>
    <w:rsid w:val="008D4651"/>
    <w:rsid w:val="008D6AAB"/>
    <w:rsid w:val="008E216D"/>
    <w:rsid w:val="008E614E"/>
    <w:rsid w:val="008F0A9F"/>
    <w:rsid w:val="008F310C"/>
    <w:rsid w:val="008F3DA0"/>
    <w:rsid w:val="008F42E3"/>
    <w:rsid w:val="008F4F76"/>
    <w:rsid w:val="008F56BF"/>
    <w:rsid w:val="009004A5"/>
    <w:rsid w:val="0090114A"/>
    <w:rsid w:val="009013F8"/>
    <w:rsid w:val="0090190E"/>
    <w:rsid w:val="00902E9C"/>
    <w:rsid w:val="00905FF5"/>
    <w:rsid w:val="00912F20"/>
    <w:rsid w:val="00916D1B"/>
    <w:rsid w:val="0092308A"/>
    <w:rsid w:val="0092312B"/>
    <w:rsid w:val="009254E8"/>
    <w:rsid w:val="00927712"/>
    <w:rsid w:val="009278ED"/>
    <w:rsid w:val="00932E14"/>
    <w:rsid w:val="00933B1E"/>
    <w:rsid w:val="009402FD"/>
    <w:rsid w:val="009407FF"/>
    <w:rsid w:val="00941936"/>
    <w:rsid w:val="00941C22"/>
    <w:rsid w:val="00942341"/>
    <w:rsid w:val="009427E8"/>
    <w:rsid w:val="00943D0A"/>
    <w:rsid w:val="00947261"/>
    <w:rsid w:val="009523C7"/>
    <w:rsid w:val="009551ED"/>
    <w:rsid w:val="00955A70"/>
    <w:rsid w:val="0095624E"/>
    <w:rsid w:val="00956C32"/>
    <w:rsid w:val="009625B4"/>
    <w:rsid w:val="00962728"/>
    <w:rsid w:val="009628DA"/>
    <w:rsid w:val="00963FD8"/>
    <w:rsid w:val="00967895"/>
    <w:rsid w:val="0097057B"/>
    <w:rsid w:val="00972195"/>
    <w:rsid w:val="00981415"/>
    <w:rsid w:val="00984698"/>
    <w:rsid w:val="00986630"/>
    <w:rsid w:val="009A1141"/>
    <w:rsid w:val="009A3B34"/>
    <w:rsid w:val="009A4D27"/>
    <w:rsid w:val="009B003A"/>
    <w:rsid w:val="009B05F4"/>
    <w:rsid w:val="009B73A7"/>
    <w:rsid w:val="009C0341"/>
    <w:rsid w:val="009C271C"/>
    <w:rsid w:val="009C3FEC"/>
    <w:rsid w:val="009C3FF0"/>
    <w:rsid w:val="009C571B"/>
    <w:rsid w:val="009C6BCF"/>
    <w:rsid w:val="009D1208"/>
    <w:rsid w:val="009D31D4"/>
    <w:rsid w:val="009D3316"/>
    <w:rsid w:val="009D778D"/>
    <w:rsid w:val="009D7BB7"/>
    <w:rsid w:val="009E2D90"/>
    <w:rsid w:val="009E4642"/>
    <w:rsid w:val="009E665D"/>
    <w:rsid w:val="009E7A60"/>
    <w:rsid w:val="009E7C2E"/>
    <w:rsid w:val="009F11F2"/>
    <w:rsid w:val="009F3D4F"/>
    <w:rsid w:val="00A0034C"/>
    <w:rsid w:val="00A04EAA"/>
    <w:rsid w:val="00A13ADA"/>
    <w:rsid w:val="00A14D18"/>
    <w:rsid w:val="00A17A23"/>
    <w:rsid w:val="00A20059"/>
    <w:rsid w:val="00A23804"/>
    <w:rsid w:val="00A23EB6"/>
    <w:rsid w:val="00A245B3"/>
    <w:rsid w:val="00A25D53"/>
    <w:rsid w:val="00A26CB3"/>
    <w:rsid w:val="00A26D0C"/>
    <w:rsid w:val="00A34459"/>
    <w:rsid w:val="00A36235"/>
    <w:rsid w:val="00A36DFA"/>
    <w:rsid w:val="00A37CB9"/>
    <w:rsid w:val="00A4437E"/>
    <w:rsid w:val="00A451D5"/>
    <w:rsid w:val="00A463D2"/>
    <w:rsid w:val="00A46AB4"/>
    <w:rsid w:val="00A51C67"/>
    <w:rsid w:val="00A51DDC"/>
    <w:rsid w:val="00A53A76"/>
    <w:rsid w:val="00A60672"/>
    <w:rsid w:val="00A618FB"/>
    <w:rsid w:val="00A62731"/>
    <w:rsid w:val="00A633C4"/>
    <w:rsid w:val="00A6519A"/>
    <w:rsid w:val="00A6783C"/>
    <w:rsid w:val="00A740E1"/>
    <w:rsid w:val="00A76444"/>
    <w:rsid w:val="00A7751C"/>
    <w:rsid w:val="00A807B4"/>
    <w:rsid w:val="00A82677"/>
    <w:rsid w:val="00A90263"/>
    <w:rsid w:val="00A97003"/>
    <w:rsid w:val="00A97B8F"/>
    <w:rsid w:val="00AA05B8"/>
    <w:rsid w:val="00AA491B"/>
    <w:rsid w:val="00AA6DD6"/>
    <w:rsid w:val="00AA7AD3"/>
    <w:rsid w:val="00AA7DDC"/>
    <w:rsid w:val="00AB24F6"/>
    <w:rsid w:val="00AB2634"/>
    <w:rsid w:val="00AB3233"/>
    <w:rsid w:val="00AC0481"/>
    <w:rsid w:val="00AC0D3A"/>
    <w:rsid w:val="00AC1884"/>
    <w:rsid w:val="00AC3444"/>
    <w:rsid w:val="00AC4D34"/>
    <w:rsid w:val="00AC58E2"/>
    <w:rsid w:val="00AC6C48"/>
    <w:rsid w:val="00AD1E19"/>
    <w:rsid w:val="00AD39A2"/>
    <w:rsid w:val="00AD6E32"/>
    <w:rsid w:val="00AD71E9"/>
    <w:rsid w:val="00AE02B0"/>
    <w:rsid w:val="00AE0405"/>
    <w:rsid w:val="00AE400C"/>
    <w:rsid w:val="00AE6855"/>
    <w:rsid w:val="00AE6D12"/>
    <w:rsid w:val="00AF1D05"/>
    <w:rsid w:val="00AF62EA"/>
    <w:rsid w:val="00B01BD0"/>
    <w:rsid w:val="00B02024"/>
    <w:rsid w:val="00B02087"/>
    <w:rsid w:val="00B020E2"/>
    <w:rsid w:val="00B02C3E"/>
    <w:rsid w:val="00B02F97"/>
    <w:rsid w:val="00B07244"/>
    <w:rsid w:val="00B11F1A"/>
    <w:rsid w:val="00B1292D"/>
    <w:rsid w:val="00B145A1"/>
    <w:rsid w:val="00B1640C"/>
    <w:rsid w:val="00B16A48"/>
    <w:rsid w:val="00B17E2B"/>
    <w:rsid w:val="00B20A54"/>
    <w:rsid w:val="00B32202"/>
    <w:rsid w:val="00B34257"/>
    <w:rsid w:val="00B4033F"/>
    <w:rsid w:val="00B408FA"/>
    <w:rsid w:val="00B40DBC"/>
    <w:rsid w:val="00B43C2F"/>
    <w:rsid w:val="00B43F90"/>
    <w:rsid w:val="00B44840"/>
    <w:rsid w:val="00B45C4E"/>
    <w:rsid w:val="00B504C3"/>
    <w:rsid w:val="00B5678B"/>
    <w:rsid w:val="00B636B6"/>
    <w:rsid w:val="00B71CB4"/>
    <w:rsid w:val="00B72973"/>
    <w:rsid w:val="00B72F79"/>
    <w:rsid w:val="00B7338F"/>
    <w:rsid w:val="00B74CBA"/>
    <w:rsid w:val="00B758A1"/>
    <w:rsid w:val="00B7666C"/>
    <w:rsid w:val="00B80078"/>
    <w:rsid w:val="00B8332B"/>
    <w:rsid w:val="00B860F1"/>
    <w:rsid w:val="00B876A8"/>
    <w:rsid w:val="00B87A4A"/>
    <w:rsid w:val="00B919B6"/>
    <w:rsid w:val="00B93304"/>
    <w:rsid w:val="00B96A63"/>
    <w:rsid w:val="00BA44E1"/>
    <w:rsid w:val="00BA4BF5"/>
    <w:rsid w:val="00BA7876"/>
    <w:rsid w:val="00BB023E"/>
    <w:rsid w:val="00BB16FE"/>
    <w:rsid w:val="00BB6FE2"/>
    <w:rsid w:val="00BC2B56"/>
    <w:rsid w:val="00BC44DB"/>
    <w:rsid w:val="00BC4B28"/>
    <w:rsid w:val="00BC614F"/>
    <w:rsid w:val="00BD0998"/>
    <w:rsid w:val="00BD4FA6"/>
    <w:rsid w:val="00BD5351"/>
    <w:rsid w:val="00BE04B9"/>
    <w:rsid w:val="00BE604A"/>
    <w:rsid w:val="00BE736A"/>
    <w:rsid w:val="00BE7E6F"/>
    <w:rsid w:val="00BF26A2"/>
    <w:rsid w:val="00BF276C"/>
    <w:rsid w:val="00BF4FF7"/>
    <w:rsid w:val="00BF50D3"/>
    <w:rsid w:val="00BF5F9D"/>
    <w:rsid w:val="00BF72C2"/>
    <w:rsid w:val="00BF7F0F"/>
    <w:rsid w:val="00C0219D"/>
    <w:rsid w:val="00C02975"/>
    <w:rsid w:val="00C0528F"/>
    <w:rsid w:val="00C058B7"/>
    <w:rsid w:val="00C07009"/>
    <w:rsid w:val="00C11DF2"/>
    <w:rsid w:val="00C17B1C"/>
    <w:rsid w:val="00C17BC8"/>
    <w:rsid w:val="00C218EF"/>
    <w:rsid w:val="00C23C11"/>
    <w:rsid w:val="00C257BF"/>
    <w:rsid w:val="00C30CEB"/>
    <w:rsid w:val="00C30F05"/>
    <w:rsid w:val="00C31B17"/>
    <w:rsid w:val="00C32795"/>
    <w:rsid w:val="00C3282B"/>
    <w:rsid w:val="00C32851"/>
    <w:rsid w:val="00C41EBE"/>
    <w:rsid w:val="00C43363"/>
    <w:rsid w:val="00C52602"/>
    <w:rsid w:val="00C52D25"/>
    <w:rsid w:val="00C5548E"/>
    <w:rsid w:val="00C57FAA"/>
    <w:rsid w:val="00C60C17"/>
    <w:rsid w:val="00C60FBC"/>
    <w:rsid w:val="00C627DB"/>
    <w:rsid w:val="00C6335A"/>
    <w:rsid w:val="00C63504"/>
    <w:rsid w:val="00C63965"/>
    <w:rsid w:val="00C64683"/>
    <w:rsid w:val="00C65955"/>
    <w:rsid w:val="00C6773E"/>
    <w:rsid w:val="00C67A23"/>
    <w:rsid w:val="00C70090"/>
    <w:rsid w:val="00C711D9"/>
    <w:rsid w:val="00C732C5"/>
    <w:rsid w:val="00C73E6D"/>
    <w:rsid w:val="00C73F92"/>
    <w:rsid w:val="00C75DBC"/>
    <w:rsid w:val="00C82335"/>
    <w:rsid w:val="00C854DF"/>
    <w:rsid w:val="00C855AF"/>
    <w:rsid w:val="00C87BC0"/>
    <w:rsid w:val="00C906C7"/>
    <w:rsid w:val="00C9755F"/>
    <w:rsid w:val="00CA03F5"/>
    <w:rsid w:val="00CA28A8"/>
    <w:rsid w:val="00CA43DC"/>
    <w:rsid w:val="00CA4814"/>
    <w:rsid w:val="00CA4DA6"/>
    <w:rsid w:val="00CA6018"/>
    <w:rsid w:val="00CA796E"/>
    <w:rsid w:val="00CB089D"/>
    <w:rsid w:val="00CB4321"/>
    <w:rsid w:val="00CB46E5"/>
    <w:rsid w:val="00CB4F66"/>
    <w:rsid w:val="00CB71BC"/>
    <w:rsid w:val="00CC0147"/>
    <w:rsid w:val="00CC06E3"/>
    <w:rsid w:val="00CC48DF"/>
    <w:rsid w:val="00CC5E02"/>
    <w:rsid w:val="00CD2F02"/>
    <w:rsid w:val="00CD43E6"/>
    <w:rsid w:val="00CD498E"/>
    <w:rsid w:val="00CD5622"/>
    <w:rsid w:val="00CD57CD"/>
    <w:rsid w:val="00CE0102"/>
    <w:rsid w:val="00CE0EB0"/>
    <w:rsid w:val="00CE19BB"/>
    <w:rsid w:val="00CE2982"/>
    <w:rsid w:val="00CE40E5"/>
    <w:rsid w:val="00CE426E"/>
    <w:rsid w:val="00CE4983"/>
    <w:rsid w:val="00CE592B"/>
    <w:rsid w:val="00CE5E46"/>
    <w:rsid w:val="00CE7C37"/>
    <w:rsid w:val="00CF2299"/>
    <w:rsid w:val="00CF2837"/>
    <w:rsid w:val="00CF379A"/>
    <w:rsid w:val="00CF766B"/>
    <w:rsid w:val="00CF7772"/>
    <w:rsid w:val="00D00833"/>
    <w:rsid w:val="00D02BE3"/>
    <w:rsid w:val="00D123FE"/>
    <w:rsid w:val="00D1448A"/>
    <w:rsid w:val="00D216C3"/>
    <w:rsid w:val="00D22FBE"/>
    <w:rsid w:val="00D23082"/>
    <w:rsid w:val="00D247BE"/>
    <w:rsid w:val="00D261F8"/>
    <w:rsid w:val="00D2641B"/>
    <w:rsid w:val="00D3078B"/>
    <w:rsid w:val="00D33CF6"/>
    <w:rsid w:val="00D34092"/>
    <w:rsid w:val="00D36C50"/>
    <w:rsid w:val="00D435BA"/>
    <w:rsid w:val="00D4469A"/>
    <w:rsid w:val="00D45FF0"/>
    <w:rsid w:val="00D47535"/>
    <w:rsid w:val="00D47BDF"/>
    <w:rsid w:val="00D5078B"/>
    <w:rsid w:val="00D50E1A"/>
    <w:rsid w:val="00D5148C"/>
    <w:rsid w:val="00D54273"/>
    <w:rsid w:val="00D5499D"/>
    <w:rsid w:val="00D56554"/>
    <w:rsid w:val="00D56CE2"/>
    <w:rsid w:val="00D60D93"/>
    <w:rsid w:val="00D61014"/>
    <w:rsid w:val="00D622C5"/>
    <w:rsid w:val="00D62EA1"/>
    <w:rsid w:val="00D67C3B"/>
    <w:rsid w:val="00D7162F"/>
    <w:rsid w:val="00D71B97"/>
    <w:rsid w:val="00D74435"/>
    <w:rsid w:val="00D748FC"/>
    <w:rsid w:val="00D76EE3"/>
    <w:rsid w:val="00D77789"/>
    <w:rsid w:val="00D81F3B"/>
    <w:rsid w:val="00D847F8"/>
    <w:rsid w:val="00D84FF2"/>
    <w:rsid w:val="00D90DA0"/>
    <w:rsid w:val="00D91668"/>
    <w:rsid w:val="00D91EDB"/>
    <w:rsid w:val="00D92B3D"/>
    <w:rsid w:val="00D958E2"/>
    <w:rsid w:val="00D96941"/>
    <w:rsid w:val="00D97DD4"/>
    <w:rsid w:val="00DA62F2"/>
    <w:rsid w:val="00DB1D3E"/>
    <w:rsid w:val="00DB2DD6"/>
    <w:rsid w:val="00DB31A3"/>
    <w:rsid w:val="00DB3350"/>
    <w:rsid w:val="00DB673D"/>
    <w:rsid w:val="00DB6B92"/>
    <w:rsid w:val="00DC792B"/>
    <w:rsid w:val="00DD1B54"/>
    <w:rsid w:val="00DD2126"/>
    <w:rsid w:val="00DD602D"/>
    <w:rsid w:val="00DE37E0"/>
    <w:rsid w:val="00DE4BD8"/>
    <w:rsid w:val="00DE509D"/>
    <w:rsid w:val="00DE5569"/>
    <w:rsid w:val="00DE677E"/>
    <w:rsid w:val="00DE7FFA"/>
    <w:rsid w:val="00DF0BC2"/>
    <w:rsid w:val="00DF116B"/>
    <w:rsid w:val="00DF23F4"/>
    <w:rsid w:val="00DF4F44"/>
    <w:rsid w:val="00DF56C5"/>
    <w:rsid w:val="00E006EE"/>
    <w:rsid w:val="00E00B39"/>
    <w:rsid w:val="00E02317"/>
    <w:rsid w:val="00E05163"/>
    <w:rsid w:val="00E062F4"/>
    <w:rsid w:val="00E07110"/>
    <w:rsid w:val="00E07224"/>
    <w:rsid w:val="00E13952"/>
    <w:rsid w:val="00E13A3F"/>
    <w:rsid w:val="00E165FC"/>
    <w:rsid w:val="00E16C95"/>
    <w:rsid w:val="00E21C76"/>
    <w:rsid w:val="00E24F15"/>
    <w:rsid w:val="00E276DD"/>
    <w:rsid w:val="00E27D01"/>
    <w:rsid w:val="00E305BD"/>
    <w:rsid w:val="00E317CF"/>
    <w:rsid w:val="00E31A6B"/>
    <w:rsid w:val="00E333AE"/>
    <w:rsid w:val="00E33FE2"/>
    <w:rsid w:val="00E344AD"/>
    <w:rsid w:val="00E35A4A"/>
    <w:rsid w:val="00E44A56"/>
    <w:rsid w:val="00E53BEF"/>
    <w:rsid w:val="00E5457B"/>
    <w:rsid w:val="00E5533C"/>
    <w:rsid w:val="00E64194"/>
    <w:rsid w:val="00E65934"/>
    <w:rsid w:val="00E70A4B"/>
    <w:rsid w:val="00E710E6"/>
    <w:rsid w:val="00E723F6"/>
    <w:rsid w:val="00E72BAD"/>
    <w:rsid w:val="00E73D84"/>
    <w:rsid w:val="00E757E9"/>
    <w:rsid w:val="00E75AD2"/>
    <w:rsid w:val="00E75EA2"/>
    <w:rsid w:val="00E77087"/>
    <w:rsid w:val="00E82DBD"/>
    <w:rsid w:val="00E83920"/>
    <w:rsid w:val="00E8454C"/>
    <w:rsid w:val="00E8716B"/>
    <w:rsid w:val="00E87B86"/>
    <w:rsid w:val="00E91BFE"/>
    <w:rsid w:val="00E9643F"/>
    <w:rsid w:val="00E97DC2"/>
    <w:rsid w:val="00EA1CA0"/>
    <w:rsid w:val="00EA4985"/>
    <w:rsid w:val="00EA4DCF"/>
    <w:rsid w:val="00EA66D7"/>
    <w:rsid w:val="00EA6EF1"/>
    <w:rsid w:val="00EB4261"/>
    <w:rsid w:val="00EB64F0"/>
    <w:rsid w:val="00EB6B18"/>
    <w:rsid w:val="00EB7C7F"/>
    <w:rsid w:val="00EC5D1E"/>
    <w:rsid w:val="00EC7014"/>
    <w:rsid w:val="00EC7B9D"/>
    <w:rsid w:val="00ED45E8"/>
    <w:rsid w:val="00ED5901"/>
    <w:rsid w:val="00EE09F6"/>
    <w:rsid w:val="00EE13EB"/>
    <w:rsid w:val="00EE183D"/>
    <w:rsid w:val="00EF007B"/>
    <w:rsid w:val="00EF0BF9"/>
    <w:rsid w:val="00EF4CAB"/>
    <w:rsid w:val="00EF544F"/>
    <w:rsid w:val="00EF5CD1"/>
    <w:rsid w:val="00EF5D29"/>
    <w:rsid w:val="00EF6622"/>
    <w:rsid w:val="00EF6EA5"/>
    <w:rsid w:val="00F03188"/>
    <w:rsid w:val="00F044DF"/>
    <w:rsid w:val="00F103A9"/>
    <w:rsid w:val="00F11E23"/>
    <w:rsid w:val="00F13186"/>
    <w:rsid w:val="00F173DE"/>
    <w:rsid w:val="00F17713"/>
    <w:rsid w:val="00F201E4"/>
    <w:rsid w:val="00F20B93"/>
    <w:rsid w:val="00F20CCD"/>
    <w:rsid w:val="00F20D18"/>
    <w:rsid w:val="00F2231B"/>
    <w:rsid w:val="00F25163"/>
    <w:rsid w:val="00F25733"/>
    <w:rsid w:val="00F27C0A"/>
    <w:rsid w:val="00F32F65"/>
    <w:rsid w:val="00F33599"/>
    <w:rsid w:val="00F336F0"/>
    <w:rsid w:val="00F33D69"/>
    <w:rsid w:val="00F3498E"/>
    <w:rsid w:val="00F34D46"/>
    <w:rsid w:val="00F355E6"/>
    <w:rsid w:val="00F366AE"/>
    <w:rsid w:val="00F45A49"/>
    <w:rsid w:val="00F47FC9"/>
    <w:rsid w:val="00F53C55"/>
    <w:rsid w:val="00F54DA5"/>
    <w:rsid w:val="00F6022A"/>
    <w:rsid w:val="00F608FD"/>
    <w:rsid w:val="00F620D8"/>
    <w:rsid w:val="00F653EF"/>
    <w:rsid w:val="00F70211"/>
    <w:rsid w:val="00F70B17"/>
    <w:rsid w:val="00F7102D"/>
    <w:rsid w:val="00F713CC"/>
    <w:rsid w:val="00F72E16"/>
    <w:rsid w:val="00F81939"/>
    <w:rsid w:val="00F83D9D"/>
    <w:rsid w:val="00F85F67"/>
    <w:rsid w:val="00F93BA4"/>
    <w:rsid w:val="00F94780"/>
    <w:rsid w:val="00F949C9"/>
    <w:rsid w:val="00F95313"/>
    <w:rsid w:val="00F9708B"/>
    <w:rsid w:val="00FA224B"/>
    <w:rsid w:val="00FA4F64"/>
    <w:rsid w:val="00FA6501"/>
    <w:rsid w:val="00FB05A8"/>
    <w:rsid w:val="00FB074B"/>
    <w:rsid w:val="00FB3520"/>
    <w:rsid w:val="00FB3A5E"/>
    <w:rsid w:val="00FB3BFF"/>
    <w:rsid w:val="00FB422C"/>
    <w:rsid w:val="00FB6789"/>
    <w:rsid w:val="00FB6CCD"/>
    <w:rsid w:val="00FB738E"/>
    <w:rsid w:val="00FB7C3C"/>
    <w:rsid w:val="00FC13EF"/>
    <w:rsid w:val="00FC3994"/>
    <w:rsid w:val="00FC485C"/>
    <w:rsid w:val="00FC4F15"/>
    <w:rsid w:val="00FC671B"/>
    <w:rsid w:val="00FD20FF"/>
    <w:rsid w:val="00FD2642"/>
    <w:rsid w:val="00FD591F"/>
    <w:rsid w:val="00FD6561"/>
    <w:rsid w:val="00FD7F6B"/>
    <w:rsid w:val="00FF1AA4"/>
    <w:rsid w:val="00FF573D"/>
    <w:rsid w:val="00FF67E8"/>
    <w:rsid w:val="00FF786D"/>
    <w:rsid w:val="012E464E"/>
    <w:rsid w:val="01564086"/>
    <w:rsid w:val="01670901"/>
    <w:rsid w:val="017B2F92"/>
    <w:rsid w:val="01875299"/>
    <w:rsid w:val="018B26F9"/>
    <w:rsid w:val="01936C90"/>
    <w:rsid w:val="019B2857"/>
    <w:rsid w:val="019F1377"/>
    <w:rsid w:val="01A45F76"/>
    <w:rsid w:val="01BA1666"/>
    <w:rsid w:val="01D926B4"/>
    <w:rsid w:val="0250472A"/>
    <w:rsid w:val="026200B1"/>
    <w:rsid w:val="0263123E"/>
    <w:rsid w:val="02651289"/>
    <w:rsid w:val="02DC729D"/>
    <w:rsid w:val="02EC3E27"/>
    <w:rsid w:val="02F3762A"/>
    <w:rsid w:val="02FC4A27"/>
    <w:rsid w:val="03036B7C"/>
    <w:rsid w:val="031841A0"/>
    <w:rsid w:val="031E03CF"/>
    <w:rsid w:val="033712B1"/>
    <w:rsid w:val="03371D3B"/>
    <w:rsid w:val="0347578A"/>
    <w:rsid w:val="034C2F44"/>
    <w:rsid w:val="0387480E"/>
    <w:rsid w:val="038A0130"/>
    <w:rsid w:val="038E75CD"/>
    <w:rsid w:val="03BB7FBE"/>
    <w:rsid w:val="03E31333"/>
    <w:rsid w:val="04115E30"/>
    <w:rsid w:val="04365896"/>
    <w:rsid w:val="049D0600"/>
    <w:rsid w:val="04BA64C7"/>
    <w:rsid w:val="04CE3D21"/>
    <w:rsid w:val="050555EB"/>
    <w:rsid w:val="05082A98"/>
    <w:rsid w:val="051772BA"/>
    <w:rsid w:val="051B708B"/>
    <w:rsid w:val="052459A1"/>
    <w:rsid w:val="05326616"/>
    <w:rsid w:val="054E7B19"/>
    <w:rsid w:val="057E7D51"/>
    <w:rsid w:val="0595023B"/>
    <w:rsid w:val="05A229EE"/>
    <w:rsid w:val="05A548B8"/>
    <w:rsid w:val="05A82331"/>
    <w:rsid w:val="05AD693D"/>
    <w:rsid w:val="05AE2379"/>
    <w:rsid w:val="05B80C59"/>
    <w:rsid w:val="05C84C14"/>
    <w:rsid w:val="05DE61E6"/>
    <w:rsid w:val="05EA6040"/>
    <w:rsid w:val="05EC7CCA"/>
    <w:rsid w:val="05F70303"/>
    <w:rsid w:val="063007A1"/>
    <w:rsid w:val="06534A81"/>
    <w:rsid w:val="06640499"/>
    <w:rsid w:val="0674541D"/>
    <w:rsid w:val="06774F7B"/>
    <w:rsid w:val="068C5C42"/>
    <w:rsid w:val="06B6519F"/>
    <w:rsid w:val="06D239EE"/>
    <w:rsid w:val="06D34AB0"/>
    <w:rsid w:val="06EF610B"/>
    <w:rsid w:val="074A3B33"/>
    <w:rsid w:val="078B414B"/>
    <w:rsid w:val="078B4160"/>
    <w:rsid w:val="078F7797"/>
    <w:rsid w:val="07A36216"/>
    <w:rsid w:val="07B00EEB"/>
    <w:rsid w:val="07CD0D05"/>
    <w:rsid w:val="07DA248C"/>
    <w:rsid w:val="08154017"/>
    <w:rsid w:val="08515C6B"/>
    <w:rsid w:val="0854757D"/>
    <w:rsid w:val="08591D90"/>
    <w:rsid w:val="086E502D"/>
    <w:rsid w:val="088A7F5F"/>
    <w:rsid w:val="088C017B"/>
    <w:rsid w:val="08C02717"/>
    <w:rsid w:val="08F52520"/>
    <w:rsid w:val="09012917"/>
    <w:rsid w:val="09095327"/>
    <w:rsid w:val="09122D64"/>
    <w:rsid w:val="09502F56"/>
    <w:rsid w:val="09656A7F"/>
    <w:rsid w:val="097035F9"/>
    <w:rsid w:val="09AB56BC"/>
    <w:rsid w:val="0A0D0C39"/>
    <w:rsid w:val="0A397E8E"/>
    <w:rsid w:val="0A5B7DD8"/>
    <w:rsid w:val="0A8430B4"/>
    <w:rsid w:val="0A890542"/>
    <w:rsid w:val="0A9A6080"/>
    <w:rsid w:val="0AA8300E"/>
    <w:rsid w:val="0AB614DF"/>
    <w:rsid w:val="0ABF5171"/>
    <w:rsid w:val="0AC848BA"/>
    <w:rsid w:val="0AEC0935"/>
    <w:rsid w:val="0AF830E0"/>
    <w:rsid w:val="0B136931"/>
    <w:rsid w:val="0B185FAE"/>
    <w:rsid w:val="0B1D53A1"/>
    <w:rsid w:val="0B291CB1"/>
    <w:rsid w:val="0B51729E"/>
    <w:rsid w:val="0B5218A1"/>
    <w:rsid w:val="0B5C22BA"/>
    <w:rsid w:val="0B696BE8"/>
    <w:rsid w:val="0B7078E0"/>
    <w:rsid w:val="0B723658"/>
    <w:rsid w:val="0B8E0947"/>
    <w:rsid w:val="0BD46426"/>
    <w:rsid w:val="0BDC6D23"/>
    <w:rsid w:val="0BE032E7"/>
    <w:rsid w:val="0BF6725E"/>
    <w:rsid w:val="0C1652AA"/>
    <w:rsid w:val="0C4A7FF2"/>
    <w:rsid w:val="0C6F76DD"/>
    <w:rsid w:val="0C8D31B9"/>
    <w:rsid w:val="0CAA292A"/>
    <w:rsid w:val="0CE71E24"/>
    <w:rsid w:val="0D2C7836"/>
    <w:rsid w:val="0D3A01A5"/>
    <w:rsid w:val="0D491BC6"/>
    <w:rsid w:val="0D4A32BB"/>
    <w:rsid w:val="0D4A5F0F"/>
    <w:rsid w:val="0D6A13FD"/>
    <w:rsid w:val="0D736B7C"/>
    <w:rsid w:val="0DCE6B40"/>
    <w:rsid w:val="0DD0045F"/>
    <w:rsid w:val="0E1B6595"/>
    <w:rsid w:val="0E572FD9"/>
    <w:rsid w:val="0EA54CD1"/>
    <w:rsid w:val="0EA855E3"/>
    <w:rsid w:val="0EA92EB4"/>
    <w:rsid w:val="0EB607B4"/>
    <w:rsid w:val="0EBC61DF"/>
    <w:rsid w:val="0F010340"/>
    <w:rsid w:val="0F01493F"/>
    <w:rsid w:val="0F403508"/>
    <w:rsid w:val="0F66458A"/>
    <w:rsid w:val="0F841BAC"/>
    <w:rsid w:val="0F8A1E41"/>
    <w:rsid w:val="0F99416F"/>
    <w:rsid w:val="0FE25857"/>
    <w:rsid w:val="0FE37790"/>
    <w:rsid w:val="0FEA099D"/>
    <w:rsid w:val="102A1DC3"/>
    <w:rsid w:val="103C4234"/>
    <w:rsid w:val="103F63D8"/>
    <w:rsid w:val="10537243"/>
    <w:rsid w:val="10570655"/>
    <w:rsid w:val="106E3486"/>
    <w:rsid w:val="109908F7"/>
    <w:rsid w:val="10CC1FC5"/>
    <w:rsid w:val="10CC33F7"/>
    <w:rsid w:val="11041B38"/>
    <w:rsid w:val="11275FA5"/>
    <w:rsid w:val="11377A07"/>
    <w:rsid w:val="11767E25"/>
    <w:rsid w:val="118974EB"/>
    <w:rsid w:val="11E608FC"/>
    <w:rsid w:val="11FA23BE"/>
    <w:rsid w:val="121311DB"/>
    <w:rsid w:val="121E503A"/>
    <w:rsid w:val="121F5E5E"/>
    <w:rsid w:val="122A0AF3"/>
    <w:rsid w:val="1243490C"/>
    <w:rsid w:val="126B7053"/>
    <w:rsid w:val="12A06CFD"/>
    <w:rsid w:val="12B8488C"/>
    <w:rsid w:val="12E67E4A"/>
    <w:rsid w:val="12E94F31"/>
    <w:rsid w:val="130B72A2"/>
    <w:rsid w:val="1312474C"/>
    <w:rsid w:val="13272D3F"/>
    <w:rsid w:val="13480CB7"/>
    <w:rsid w:val="136C7CAE"/>
    <w:rsid w:val="136D49A6"/>
    <w:rsid w:val="137656CD"/>
    <w:rsid w:val="137D096F"/>
    <w:rsid w:val="139B18E6"/>
    <w:rsid w:val="13A77C36"/>
    <w:rsid w:val="13AB6AFA"/>
    <w:rsid w:val="13E123CB"/>
    <w:rsid w:val="13E40530"/>
    <w:rsid w:val="13F276B2"/>
    <w:rsid w:val="14136929"/>
    <w:rsid w:val="145A3A9E"/>
    <w:rsid w:val="147D559E"/>
    <w:rsid w:val="14940904"/>
    <w:rsid w:val="14AA3E63"/>
    <w:rsid w:val="1505657D"/>
    <w:rsid w:val="150A1090"/>
    <w:rsid w:val="157C1382"/>
    <w:rsid w:val="15861F52"/>
    <w:rsid w:val="15966195"/>
    <w:rsid w:val="15BC7495"/>
    <w:rsid w:val="15DE55B6"/>
    <w:rsid w:val="15FF4ABD"/>
    <w:rsid w:val="160B2E59"/>
    <w:rsid w:val="164166E1"/>
    <w:rsid w:val="1646712E"/>
    <w:rsid w:val="16502966"/>
    <w:rsid w:val="16731776"/>
    <w:rsid w:val="167F131F"/>
    <w:rsid w:val="1685646E"/>
    <w:rsid w:val="1687779F"/>
    <w:rsid w:val="16995EB3"/>
    <w:rsid w:val="16AF53BE"/>
    <w:rsid w:val="16B93F4A"/>
    <w:rsid w:val="16CC1500"/>
    <w:rsid w:val="16EA6504"/>
    <w:rsid w:val="17270979"/>
    <w:rsid w:val="17464B70"/>
    <w:rsid w:val="17556950"/>
    <w:rsid w:val="176C08DA"/>
    <w:rsid w:val="17893ED5"/>
    <w:rsid w:val="17AC77D5"/>
    <w:rsid w:val="17F17F76"/>
    <w:rsid w:val="18282C3C"/>
    <w:rsid w:val="186C3CA6"/>
    <w:rsid w:val="186F364B"/>
    <w:rsid w:val="189930BC"/>
    <w:rsid w:val="189D2197"/>
    <w:rsid w:val="18E65685"/>
    <w:rsid w:val="190D5725"/>
    <w:rsid w:val="19120F39"/>
    <w:rsid w:val="19152700"/>
    <w:rsid w:val="192F1AFF"/>
    <w:rsid w:val="193208CA"/>
    <w:rsid w:val="196F3295"/>
    <w:rsid w:val="19932C91"/>
    <w:rsid w:val="199450E1"/>
    <w:rsid w:val="19EC35CB"/>
    <w:rsid w:val="1A283F89"/>
    <w:rsid w:val="1A405642"/>
    <w:rsid w:val="1A536F16"/>
    <w:rsid w:val="1A555736"/>
    <w:rsid w:val="1AFA71C6"/>
    <w:rsid w:val="1B026899"/>
    <w:rsid w:val="1B1D5F23"/>
    <w:rsid w:val="1B810DF0"/>
    <w:rsid w:val="1BAD5FE6"/>
    <w:rsid w:val="1BAE0015"/>
    <w:rsid w:val="1BC86D72"/>
    <w:rsid w:val="1BD167E0"/>
    <w:rsid w:val="1BD50DF3"/>
    <w:rsid w:val="1BE66F67"/>
    <w:rsid w:val="1C404D2F"/>
    <w:rsid w:val="1C80194F"/>
    <w:rsid w:val="1C892719"/>
    <w:rsid w:val="1CD452C3"/>
    <w:rsid w:val="1CD65CDE"/>
    <w:rsid w:val="1CE4445C"/>
    <w:rsid w:val="1D3249F5"/>
    <w:rsid w:val="1D507A6A"/>
    <w:rsid w:val="1D5B6EC1"/>
    <w:rsid w:val="1D7B752A"/>
    <w:rsid w:val="1DA74E20"/>
    <w:rsid w:val="1DC35F95"/>
    <w:rsid w:val="1DD94A70"/>
    <w:rsid w:val="1DFA4FAC"/>
    <w:rsid w:val="1DFD59AA"/>
    <w:rsid w:val="1E002D45"/>
    <w:rsid w:val="1E1412C2"/>
    <w:rsid w:val="1E1F615E"/>
    <w:rsid w:val="1E3E5D89"/>
    <w:rsid w:val="1E4E2309"/>
    <w:rsid w:val="1EA42FED"/>
    <w:rsid w:val="1EBA5AB8"/>
    <w:rsid w:val="1EE144AD"/>
    <w:rsid w:val="1EF02798"/>
    <w:rsid w:val="1F170346"/>
    <w:rsid w:val="1F1D3268"/>
    <w:rsid w:val="1F432D46"/>
    <w:rsid w:val="1F483424"/>
    <w:rsid w:val="1F6E0BE7"/>
    <w:rsid w:val="1F736BAF"/>
    <w:rsid w:val="1F741417"/>
    <w:rsid w:val="1FB80949"/>
    <w:rsid w:val="1FCE3F40"/>
    <w:rsid w:val="1FF1600F"/>
    <w:rsid w:val="1FFA7ACD"/>
    <w:rsid w:val="20072B18"/>
    <w:rsid w:val="200949B0"/>
    <w:rsid w:val="201A4583"/>
    <w:rsid w:val="20485313"/>
    <w:rsid w:val="20594A8B"/>
    <w:rsid w:val="205D57F5"/>
    <w:rsid w:val="20601D91"/>
    <w:rsid w:val="207018C7"/>
    <w:rsid w:val="20863CB7"/>
    <w:rsid w:val="209D0B0C"/>
    <w:rsid w:val="20B57809"/>
    <w:rsid w:val="20D7748C"/>
    <w:rsid w:val="20E12D1D"/>
    <w:rsid w:val="21023638"/>
    <w:rsid w:val="21311468"/>
    <w:rsid w:val="21366A7E"/>
    <w:rsid w:val="2152407C"/>
    <w:rsid w:val="21892883"/>
    <w:rsid w:val="219102A2"/>
    <w:rsid w:val="21B068A5"/>
    <w:rsid w:val="21D32344"/>
    <w:rsid w:val="21D86D42"/>
    <w:rsid w:val="21FA61CE"/>
    <w:rsid w:val="220A36CE"/>
    <w:rsid w:val="22443B73"/>
    <w:rsid w:val="22487CEB"/>
    <w:rsid w:val="2282414A"/>
    <w:rsid w:val="22C43E3D"/>
    <w:rsid w:val="22EF1DB7"/>
    <w:rsid w:val="233903E6"/>
    <w:rsid w:val="2357673E"/>
    <w:rsid w:val="2361677F"/>
    <w:rsid w:val="238A77FD"/>
    <w:rsid w:val="24004C34"/>
    <w:rsid w:val="2401202A"/>
    <w:rsid w:val="242011E0"/>
    <w:rsid w:val="24250302"/>
    <w:rsid w:val="24415E66"/>
    <w:rsid w:val="244F585E"/>
    <w:rsid w:val="24A029C6"/>
    <w:rsid w:val="24A2708D"/>
    <w:rsid w:val="24AD73EB"/>
    <w:rsid w:val="25097302"/>
    <w:rsid w:val="251B2213"/>
    <w:rsid w:val="251F4259"/>
    <w:rsid w:val="25246250"/>
    <w:rsid w:val="25470734"/>
    <w:rsid w:val="256E264F"/>
    <w:rsid w:val="25817A40"/>
    <w:rsid w:val="258E7F15"/>
    <w:rsid w:val="25B20D3D"/>
    <w:rsid w:val="25B50124"/>
    <w:rsid w:val="25B50C3C"/>
    <w:rsid w:val="25B54297"/>
    <w:rsid w:val="25E67E91"/>
    <w:rsid w:val="25EE400F"/>
    <w:rsid w:val="25F3318F"/>
    <w:rsid w:val="26012A76"/>
    <w:rsid w:val="260314CD"/>
    <w:rsid w:val="260E4048"/>
    <w:rsid w:val="2636036F"/>
    <w:rsid w:val="264523C1"/>
    <w:rsid w:val="26971D6D"/>
    <w:rsid w:val="26A30613"/>
    <w:rsid w:val="26AD4BA7"/>
    <w:rsid w:val="26B53785"/>
    <w:rsid w:val="26C21001"/>
    <w:rsid w:val="26C66D7E"/>
    <w:rsid w:val="26F42284"/>
    <w:rsid w:val="27286E69"/>
    <w:rsid w:val="275316D4"/>
    <w:rsid w:val="276255A3"/>
    <w:rsid w:val="27A120BA"/>
    <w:rsid w:val="27A75AB7"/>
    <w:rsid w:val="28074664"/>
    <w:rsid w:val="283830DC"/>
    <w:rsid w:val="284301C5"/>
    <w:rsid w:val="284B2485"/>
    <w:rsid w:val="286E6460"/>
    <w:rsid w:val="28752473"/>
    <w:rsid w:val="288C7FD7"/>
    <w:rsid w:val="28996270"/>
    <w:rsid w:val="289F1401"/>
    <w:rsid w:val="28A236DD"/>
    <w:rsid w:val="28B500B2"/>
    <w:rsid w:val="28F96B34"/>
    <w:rsid w:val="28FA73CB"/>
    <w:rsid w:val="29256E26"/>
    <w:rsid w:val="2957079E"/>
    <w:rsid w:val="299A6CDB"/>
    <w:rsid w:val="29A16D89"/>
    <w:rsid w:val="29B17ABA"/>
    <w:rsid w:val="29DB11DA"/>
    <w:rsid w:val="29E90B31"/>
    <w:rsid w:val="29F136E6"/>
    <w:rsid w:val="2A37764A"/>
    <w:rsid w:val="2A6B1546"/>
    <w:rsid w:val="2A6D2610"/>
    <w:rsid w:val="2A855F3C"/>
    <w:rsid w:val="2A882033"/>
    <w:rsid w:val="2AAE58D7"/>
    <w:rsid w:val="2ACB0D2C"/>
    <w:rsid w:val="2AD10C63"/>
    <w:rsid w:val="2AE96B74"/>
    <w:rsid w:val="2AFC5D0A"/>
    <w:rsid w:val="2B071AB9"/>
    <w:rsid w:val="2B822FEC"/>
    <w:rsid w:val="2BBB02AC"/>
    <w:rsid w:val="2C181618"/>
    <w:rsid w:val="2C4920B8"/>
    <w:rsid w:val="2C585153"/>
    <w:rsid w:val="2C5F50DB"/>
    <w:rsid w:val="2C607F84"/>
    <w:rsid w:val="2C6A0149"/>
    <w:rsid w:val="2C6A2CFE"/>
    <w:rsid w:val="2C981F00"/>
    <w:rsid w:val="2CAB78D6"/>
    <w:rsid w:val="2CCA4ADE"/>
    <w:rsid w:val="2CCD217B"/>
    <w:rsid w:val="2CE9758D"/>
    <w:rsid w:val="2CEA3379"/>
    <w:rsid w:val="2CF26CB6"/>
    <w:rsid w:val="2D23435A"/>
    <w:rsid w:val="2D6114B0"/>
    <w:rsid w:val="2D6119C9"/>
    <w:rsid w:val="2D727090"/>
    <w:rsid w:val="2D7E77E3"/>
    <w:rsid w:val="2D822B57"/>
    <w:rsid w:val="2DA46DBA"/>
    <w:rsid w:val="2DC52932"/>
    <w:rsid w:val="2DDE74FF"/>
    <w:rsid w:val="2DEE0FC9"/>
    <w:rsid w:val="2E19031D"/>
    <w:rsid w:val="2E2A029D"/>
    <w:rsid w:val="2E3D611B"/>
    <w:rsid w:val="2E556729"/>
    <w:rsid w:val="2E67361E"/>
    <w:rsid w:val="2E686905"/>
    <w:rsid w:val="2EC1495F"/>
    <w:rsid w:val="2EFF3A78"/>
    <w:rsid w:val="2F2233BD"/>
    <w:rsid w:val="2F32666F"/>
    <w:rsid w:val="2FA33530"/>
    <w:rsid w:val="2FC07BC7"/>
    <w:rsid w:val="2FDA4A86"/>
    <w:rsid w:val="302E3742"/>
    <w:rsid w:val="303B0398"/>
    <w:rsid w:val="30677B5E"/>
    <w:rsid w:val="309F021E"/>
    <w:rsid w:val="30C32A3D"/>
    <w:rsid w:val="30C77874"/>
    <w:rsid w:val="30E90BD7"/>
    <w:rsid w:val="312406A1"/>
    <w:rsid w:val="31337765"/>
    <w:rsid w:val="313738D0"/>
    <w:rsid w:val="318F4EE2"/>
    <w:rsid w:val="31A324C1"/>
    <w:rsid w:val="31BF34F5"/>
    <w:rsid w:val="31C048B2"/>
    <w:rsid w:val="31C956DF"/>
    <w:rsid w:val="31EB7672"/>
    <w:rsid w:val="31EE4B36"/>
    <w:rsid w:val="31F060E7"/>
    <w:rsid w:val="32240966"/>
    <w:rsid w:val="32340DB8"/>
    <w:rsid w:val="323918B9"/>
    <w:rsid w:val="32483FED"/>
    <w:rsid w:val="324F0172"/>
    <w:rsid w:val="32810AE8"/>
    <w:rsid w:val="32815F0F"/>
    <w:rsid w:val="32E27D3C"/>
    <w:rsid w:val="32F77603"/>
    <w:rsid w:val="32FA3A15"/>
    <w:rsid w:val="32FB15CF"/>
    <w:rsid w:val="333846BD"/>
    <w:rsid w:val="334D2C20"/>
    <w:rsid w:val="33500FF0"/>
    <w:rsid w:val="33944C81"/>
    <w:rsid w:val="33E537D1"/>
    <w:rsid w:val="34262F80"/>
    <w:rsid w:val="3438211C"/>
    <w:rsid w:val="343C645F"/>
    <w:rsid w:val="344C003F"/>
    <w:rsid w:val="345308C7"/>
    <w:rsid w:val="345C6529"/>
    <w:rsid w:val="346B6820"/>
    <w:rsid w:val="347A60D0"/>
    <w:rsid w:val="34E140C2"/>
    <w:rsid w:val="34F91E32"/>
    <w:rsid w:val="35004F81"/>
    <w:rsid w:val="350727B3"/>
    <w:rsid w:val="350860F1"/>
    <w:rsid w:val="352E250B"/>
    <w:rsid w:val="355959E7"/>
    <w:rsid w:val="35875C12"/>
    <w:rsid w:val="359A6B32"/>
    <w:rsid w:val="36164DF1"/>
    <w:rsid w:val="361708F8"/>
    <w:rsid w:val="36210D99"/>
    <w:rsid w:val="363E29E1"/>
    <w:rsid w:val="365E6994"/>
    <w:rsid w:val="36615A90"/>
    <w:rsid w:val="368B786C"/>
    <w:rsid w:val="368E3756"/>
    <w:rsid w:val="369013D6"/>
    <w:rsid w:val="36920D9B"/>
    <w:rsid w:val="36963DEF"/>
    <w:rsid w:val="36997E62"/>
    <w:rsid w:val="36B33A1E"/>
    <w:rsid w:val="36C65E8B"/>
    <w:rsid w:val="37292E9C"/>
    <w:rsid w:val="373C1518"/>
    <w:rsid w:val="37587D8C"/>
    <w:rsid w:val="378B04B3"/>
    <w:rsid w:val="37AE6F16"/>
    <w:rsid w:val="37B057B4"/>
    <w:rsid w:val="37B62830"/>
    <w:rsid w:val="37C300DE"/>
    <w:rsid w:val="37D111DD"/>
    <w:rsid w:val="37F35C2C"/>
    <w:rsid w:val="38166A39"/>
    <w:rsid w:val="381F7C7D"/>
    <w:rsid w:val="382611A3"/>
    <w:rsid w:val="382B545C"/>
    <w:rsid w:val="38591578"/>
    <w:rsid w:val="387C33A4"/>
    <w:rsid w:val="3891486E"/>
    <w:rsid w:val="38B16928"/>
    <w:rsid w:val="38BE4FBD"/>
    <w:rsid w:val="38C82F68"/>
    <w:rsid w:val="38DB1CC3"/>
    <w:rsid w:val="38E86458"/>
    <w:rsid w:val="38F169D2"/>
    <w:rsid w:val="39184F8F"/>
    <w:rsid w:val="393D74F7"/>
    <w:rsid w:val="39A07920"/>
    <w:rsid w:val="39B30788"/>
    <w:rsid w:val="39DD307A"/>
    <w:rsid w:val="39DE0919"/>
    <w:rsid w:val="39F173A3"/>
    <w:rsid w:val="39FD50A3"/>
    <w:rsid w:val="3A0151DA"/>
    <w:rsid w:val="3A117647"/>
    <w:rsid w:val="3A2A340B"/>
    <w:rsid w:val="3A3A6190"/>
    <w:rsid w:val="3A437DEA"/>
    <w:rsid w:val="3A583C64"/>
    <w:rsid w:val="3A5B4674"/>
    <w:rsid w:val="3A8179E2"/>
    <w:rsid w:val="3A8B36AE"/>
    <w:rsid w:val="3AD553F1"/>
    <w:rsid w:val="3AE60D39"/>
    <w:rsid w:val="3B27770B"/>
    <w:rsid w:val="3B370C7E"/>
    <w:rsid w:val="3B712735"/>
    <w:rsid w:val="3BB84807"/>
    <w:rsid w:val="3BD878B0"/>
    <w:rsid w:val="3BE3725A"/>
    <w:rsid w:val="3BE92F20"/>
    <w:rsid w:val="3BEB20EA"/>
    <w:rsid w:val="3BF30D4B"/>
    <w:rsid w:val="3BF376BF"/>
    <w:rsid w:val="3C1078F1"/>
    <w:rsid w:val="3C2C6EF7"/>
    <w:rsid w:val="3C2D7CB1"/>
    <w:rsid w:val="3C5A0209"/>
    <w:rsid w:val="3C8A1D00"/>
    <w:rsid w:val="3CA42F19"/>
    <w:rsid w:val="3CAC22EF"/>
    <w:rsid w:val="3CB7471D"/>
    <w:rsid w:val="3CBF45D5"/>
    <w:rsid w:val="3D2C02D3"/>
    <w:rsid w:val="3D404AB5"/>
    <w:rsid w:val="3D4946C9"/>
    <w:rsid w:val="3D4A05AB"/>
    <w:rsid w:val="3D5505F1"/>
    <w:rsid w:val="3D5B1AA9"/>
    <w:rsid w:val="3D66752E"/>
    <w:rsid w:val="3D6B0479"/>
    <w:rsid w:val="3D83419E"/>
    <w:rsid w:val="3DC3315F"/>
    <w:rsid w:val="3DC339D6"/>
    <w:rsid w:val="3DD10E64"/>
    <w:rsid w:val="3DE67C00"/>
    <w:rsid w:val="3DE93883"/>
    <w:rsid w:val="3DEB0EC4"/>
    <w:rsid w:val="3E155F41"/>
    <w:rsid w:val="3E2F5B7C"/>
    <w:rsid w:val="3E35716F"/>
    <w:rsid w:val="3E3C5118"/>
    <w:rsid w:val="3E7423E9"/>
    <w:rsid w:val="3EA53796"/>
    <w:rsid w:val="3EA82911"/>
    <w:rsid w:val="3EE56675"/>
    <w:rsid w:val="3EEA0EAA"/>
    <w:rsid w:val="3EF570A8"/>
    <w:rsid w:val="3F084143"/>
    <w:rsid w:val="3F241969"/>
    <w:rsid w:val="3F26659C"/>
    <w:rsid w:val="3F2F3EDF"/>
    <w:rsid w:val="3F362450"/>
    <w:rsid w:val="3F520041"/>
    <w:rsid w:val="3F5E65F5"/>
    <w:rsid w:val="3FC245F7"/>
    <w:rsid w:val="405879F4"/>
    <w:rsid w:val="409A272E"/>
    <w:rsid w:val="40A1628B"/>
    <w:rsid w:val="40B631DD"/>
    <w:rsid w:val="40D56F1F"/>
    <w:rsid w:val="40F56C63"/>
    <w:rsid w:val="41157907"/>
    <w:rsid w:val="411E510D"/>
    <w:rsid w:val="4141076D"/>
    <w:rsid w:val="4165518D"/>
    <w:rsid w:val="416D399E"/>
    <w:rsid w:val="416F3546"/>
    <w:rsid w:val="41B71191"/>
    <w:rsid w:val="41C52633"/>
    <w:rsid w:val="41DB1250"/>
    <w:rsid w:val="41E7230C"/>
    <w:rsid w:val="41E94E3E"/>
    <w:rsid w:val="422872E0"/>
    <w:rsid w:val="422C3DD6"/>
    <w:rsid w:val="42391EEE"/>
    <w:rsid w:val="424550A2"/>
    <w:rsid w:val="42505693"/>
    <w:rsid w:val="426E2B88"/>
    <w:rsid w:val="42B31D1D"/>
    <w:rsid w:val="42BD2703"/>
    <w:rsid w:val="42F06C80"/>
    <w:rsid w:val="43211F1F"/>
    <w:rsid w:val="432958CE"/>
    <w:rsid w:val="43307244"/>
    <w:rsid w:val="43590E24"/>
    <w:rsid w:val="436E1F8E"/>
    <w:rsid w:val="437023C8"/>
    <w:rsid w:val="438D0328"/>
    <w:rsid w:val="43903853"/>
    <w:rsid w:val="43B45FBB"/>
    <w:rsid w:val="43C20664"/>
    <w:rsid w:val="43C40D41"/>
    <w:rsid w:val="43CA5612"/>
    <w:rsid w:val="43D83C99"/>
    <w:rsid w:val="43EA7A19"/>
    <w:rsid w:val="43F13662"/>
    <w:rsid w:val="43FB7941"/>
    <w:rsid w:val="440B4655"/>
    <w:rsid w:val="441955D4"/>
    <w:rsid w:val="443C063F"/>
    <w:rsid w:val="44555450"/>
    <w:rsid w:val="446B0669"/>
    <w:rsid w:val="447B23B3"/>
    <w:rsid w:val="4488246F"/>
    <w:rsid w:val="44A758B6"/>
    <w:rsid w:val="44D912AD"/>
    <w:rsid w:val="44FC7513"/>
    <w:rsid w:val="4518234C"/>
    <w:rsid w:val="459B379F"/>
    <w:rsid w:val="45C14F68"/>
    <w:rsid w:val="45DE6568"/>
    <w:rsid w:val="45F45080"/>
    <w:rsid w:val="45F64FB0"/>
    <w:rsid w:val="463A7A33"/>
    <w:rsid w:val="46E2577B"/>
    <w:rsid w:val="46EB4F16"/>
    <w:rsid w:val="4712104C"/>
    <w:rsid w:val="47170634"/>
    <w:rsid w:val="47393611"/>
    <w:rsid w:val="473C453F"/>
    <w:rsid w:val="475C2603"/>
    <w:rsid w:val="477974AF"/>
    <w:rsid w:val="47A31D21"/>
    <w:rsid w:val="47A871AF"/>
    <w:rsid w:val="47E2508B"/>
    <w:rsid w:val="480B2263"/>
    <w:rsid w:val="480C3B06"/>
    <w:rsid w:val="4814274D"/>
    <w:rsid w:val="483044C2"/>
    <w:rsid w:val="483538A6"/>
    <w:rsid w:val="48380C9E"/>
    <w:rsid w:val="4838452E"/>
    <w:rsid w:val="48735D3E"/>
    <w:rsid w:val="48FE7AAA"/>
    <w:rsid w:val="492B0391"/>
    <w:rsid w:val="492F7D2F"/>
    <w:rsid w:val="493403C1"/>
    <w:rsid w:val="493C524B"/>
    <w:rsid w:val="494728D7"/>
    <w:rsid w:val="496C60E7"/>
    <w:rsid w:val="49B81B27"/>
    <w:rsid w:val="49CA06F2"/>
    <w:rsid w:val="49CE3701"/>
    <w:rsid w:val="49E41115"/>
    <w:rsid w:val="4A582825"/>
    <w:rsid w:val="4A5B6580"/>
    <w:rsid w:val="4A6C2709"/>
    <w:rsid w:val="4A8F0E29"/>
    <w:rsid w:val="4AE42F23"/>
    <w:rsid w:val="4B026270"/>
    <w:rsid w:val="4B132993"/>
    <w:rsid w:val="4B194B2F"/>
    <w:rsid w:val="4B35377F"/>
    <w:rsid w:val="4B49143A"/>
    <w:rsid w:val="4B4B3B8E"/>
    <w:rsid w:val="4B7E206E"/>
    <w:rsid w:val="4B907880"/>
    <w:rsid w:val="4B9E53F2"/>
    <w:rsid w:val="4BAB1C93"/>
    <w:rsid w:val="4BBB7216"/>
    <w:rsid w:val="4BBE132D"/>
    <w:rsid w:val="4BDF1120"/>
    <w:rsid w:val="4C0A3185"/>
    <w:rsid w:val="4C143161"/>
    <w:rsid w:val="4C1E06B7"/>
    <w:rsid w:val="4C433124"/>
    <w:rsid w:val="4C4D3278"/>
    <w:rsid w:val="4C5C3FE5"/>
    <w:rsid w:val="4C5F2E23"/>
    <w:rsid w:val="4C6E2B99"/>
    <w:rsid w:val="4C72630D"/>
    <w:rsid w:val="4C74232A"/>
    <w:rsid w:val="4C765DFD"/>
    <w:rsid w:val="4C897EF4"/>
    <w:rsid w:val="4C934711"/>
    <w:rsid w:val="4CA148A6"/>
    <w:rsid w:val="4CA23096"/>
    <w:rsid w:val="4CEA08D2"/>
    <w:rsid w:val="4D0D5E31"/>
    <w:rsid w:val="4D383DD6"/>
    <w:rsid w:val="4D400C87"/>
    <w:rsid w:val="4D4611DC"/>
    <w:rsid w:val="4D465CFD"/>
    <w:rsid w:val="4D6A226D"/>
    <w:rsid w:val="4D730311"/>
    <w:rsid w:val="4D9329DF"/>
    <w:rsid w:val="4D96089E"/>
    <w:rsid w:val="4D9E5B3C"/>
    <w:rsid w:val="4DB03590"/>
    <w:rsid w:val="4DE12C58"/>
    <w:rsid w:val="4DF92CF9"/>
    <w:rsid w:val="4E1C0C26"/>
    <w:rsid w:val="4E28581D"/>
    <w:rsid w:val="4E2B6AB9"/>
    <w:rsid w:val="4E40092B"/>
    <w:rsid w:val="4E5864F2"/>
    <w:rsid w:val="4E5C595C"/>
    <w:rsid w:val="4E5F1942"/>
    <w:rsid w:val="4E602C9F"/>
    <w:rsid w:val="4E6F0D56"/>
    <w:rsid w:val="4E7C0F60"/>
    <w:rsid w:val="4EA16178"/>
    <w:rsid w:val="4F037936"/>
    <w:rsid w:val="4F0A6716"/>
    <w:rsid w:val="4F546AC1"/>
    <w:rsid w:val="4F546C22"/>
    <w:rsid w:val="4F5E3A02"/>
    <w:rsid w:val="4F606E93"/>
    <w:rsid w:val="4FB02EF2"/>
    <w:rsid w:val="4FBE179C"/>
    <w:rsid w:val="4FD64330"/>
    <w:rsid w:val="50087D88"/>
    <w:rsid w:val="502E69EF"/>
    <w:rsid w:val="50585965"/>
    <w:rsid w:val="509B13E3"/>
    <w:rsid w:val="50AF4E94"/>
    <w:rsid w:val="51337B97"/>
    <w:rsid w:val="518724E7"/>
    <w:rsid w:val="51A0030F"/>
    <w:rsid w:val="51A831A6"/>
    <w:rsid w:val="51B71431"/>
    <w:rsid w:val="51EC28EC"/>
    <w:rsid w:val="51F34D43"/>
    <w:rsid w:val="52036385"/>
    <w:rsid w:val="52350BA2"/>
    <w:rsid w:val="52750199"/>
    <w:rsid w:val="52866AAD"/>
    <w:rsid w:val="528F7C18"/>
    <w:rsid w:val="52B565FA"/>
    <w:rsid w:val="52C6253A"/>
    <w:rsid w:val="52D47264"/>
    <w:rsid w:val="52E40325"/>
    <w:rsid w:val="53096FE2"/>
    <w:rsid w:val="53226C1D"/>
    <w:rsid w:val="533B7DA0"/>
    <w:rsid w:val="53453F10"/>
    <w:rsid w:val="53612D88"/>
    <w:rsid w:val="5376752B"/>
    <w:rsid w:val="5380597A"/>
    <w:rsid w:val="53810682"/>
    <w:rsid w:val="539D0113"/>
    <w:rsid w:val="53E35A33"/>
    <w:rsid w:val="54035B47"/>
    <w:rsid w:val="541B074B"/>
    <w:rsid w:val="543326DD"/>
    <w:rsid w:val="54454971"/>
    <w:rsid w:val="54680ECA"/>
    <w:rsid w:val="548C1B8A"/>
    <w:rsid w:val="54A63F30"/>
    <w:rsid w:val="54B5148C"/>
    <w:rsid w:val="54CE084A"/>
    <w:rsid w:val="55464D6C"/>
    <w:rsid w:val="554F7B33"/>
    <w:rsid w:val="55642EBF"/>
    <w:rsid w:val="55690BF5"/>
    <w:rsid w:val="55723D4E"/>
    <w:rsid w:val="55830B1D"/>
    <w:rsid w:val="55B300C2"/>
    <w:rsid w:val="55BA3189"/>
    <w:rsid w:val="55D50038"/>
    <w:rsid w:val="55DD52E0"/>
    <w:rsid w:val="562808F4"/>
    <w:rsid w:val="563D34CA"/>
    <w:rsid w:val="565453F2"/>
    <w:rsid w:val="565725BB"/>
    <w:rsid w:val="5676674B"/>
    <w:rsid w:val="569E1568"/>
    <w:rsid w:val="56BA5277"/>
    <w:rsid w:val="56DA32FA"/>
    <w:rsid w:val="56DC1B03"/>
    <w:rsid w:val="56DE2BE5"/>
    <w:rsid w:val="56EA4C31"/>
    <w:rsid w:val="56F95A56"/>
    <w:rsid w:val="579B2BBB"/>
    <w:rsid w:val="57B51E73"/>
    <w:rsid w:val="57CA0964"/>
    <w:rsid w:val="57CA4EA1"/>
    <w:rsid w:val="57FA1D13"/>
    <w:rsid w:val="580746F5"/>
    <w:rsid w:val="58133F05"/>
    <w:rsid w:val="58164938"/>
    <w:rsid w:val="58241202"/>
    <w:rsid w:val="58355509"/>
    <w:rsid w:val="583842EE"/>
    <w:rsid w:val="58571EDE"/>
    <w:rsid w:val="58791F2F"/>
    <w:rsid w:val="58B303D9"/>
    <w:rsid w:val="58C872CC"/>
    <w:rsid w:val="58E86C35"/>
    <w:rsid w:val="58EA3C57"/>
    <w:rsid w:val="58EB3729"/>
    <w:rsid w:val="58F07447"/>
    <w:rsid w:val="58F373E6"/>
    <w:rsid w:val="592A1893"/>
    <w:rsid w:val="592A1E53"/>
    <w:rsid w:val="593F6B06"/>
    <w:rsid w:val="59452BF2"/>
    <w:rsid w:val="599D18D2"/>
    <w:rsid w:val="59BA6728"/>
    <w:rsid w:val="5A0A03E3"/>
    <w:rsid w:val="5A2B2098"/>
    <w:rsid w:val="5AAD1D0F"/>
    <w:rsid w:val="5AB92388"/>
    <w:rsid w:val="5ACC22E6"/>
    <w:rsid w:val="5AFC5403"/>
    <w:rsid w:val="5B160892"/>
    <w:rsid w:val="5B504EDE"/>
    <w:rsid w:val="5B574989"/>
    <w:rsid w:val="5B9C767C"/>
    <w:rsid w:val="5BAC4ACA"/>
    <w:rsid w:val="5BD651C0"/>
    <w:rsid w:val="5BF179E2"/>
    <w:rsid w:val="5C2960DA"/>
    <w:rsid w:val="5C2E349C"/>
    <w:rsid w:val="5C4053B5"/>
    <w:rsid w:val="5C725B62"/>
    <w:rsid w:val="5C927AC5"/>
    <w:rsid w:val="5C945029"/>
    <w:rsid w:val="5C987A6F"/>
    <w:rsid w:val="5C9A5B38"/>
    <w:rsid w:val="5CAD1987"/>
    <w:rsid w:val="5CEE378D"/>
    <w:rsid w:val="5D036E88"/>
    <w:rsid w:val="5D481164"/>
    <w:rsid w:val="5D4B44D1"/>
    <w:rsid w:val="5D536723"/>
    <w:rsid w:val="5D78400B"/>
    <w:rsid w:val="5DC26942"/>
    <w:rsid w:val="5DD93C2D"/>
    <w:rsid w:val="5E193AFC"/>
    <w:rsid w:val="5E974BBE"/>
    <w:rsid w:val="5E9D5D60"/>
    <w:rsid w:val="5EE57DEF"/>
    <w:rsid w:val="5EFB03E4"/>
    <w:rsid w:val="5F170948"/>
    <w:rsid w:val="5F2E57B5"/>
    <w:rsid w:val="5F3C1128"/>
    <w:rsid w:val="5F5512F2"/>
    <w:rsid w:val="5F6749D9"/>
    <w:rsid w:val="5F773F0E"/>
    <w:rsid w:val="5F7B2FBE"/>
    <w:rsid w:val="5FA62D65"/>
    <w:rsid w:val="60161979"/>
    <w:rsid w:val="601E2CBC"/>
    <w:rsid w:val="6038327A"/>
    <w:rsid w:val="60DA174A"/>
    <w:rsid w:val="60E05B3D"/>
    <w:rsid w:val="61030D45"/>
    <w:rsid w:val="6127416F"/>
    <w:rsid w:val="61345A21"/>
    <w:rsid w:val="613B52CB"/>
    <w:rsid w:val="61714A8E"/>
    <w:rsid w:val="61770667"/>
    <w:rsid w:val="619513A0"/>
    <w:rsid w:val="61AA58D7"/>
    <w:rsid w:val="61B264BF"/>
    <w:rsid w:val="61B615DB"/>
    <w:rsid w:val="61E16AF2"/>
    <w:rsid w:val="621A5025"/>
    <w:rsid w:val="622017FD"/>
    <w:rsid w:val="623C57C5"/>
    <w:rsid w:val="625978FB"/>
    <w:rsid w:val="625B7B17"/>
    <w:rsid w:val="62682E07"/>
    <w:rsid w:val="626F5370"/>
    <w:rsid w:val="627F7E40"/>
    <w:rsid w:val="628A3F58"/>
    <w:rsid w:val="629628FD"/>
    <w:rsid w:val="62BE6D6D"/>
    <w:rsid w:val="62CE35D1"/>
    <w:rsid w:val="63197073"/>
    <w:rsid w:val="632D1F57"/>
    <w:rsid w:val="63524392"/>
    <w:rsid w:val="63612F0B"/>
    <w:rsid w:val="638766EA"/>
    <w:rsid w:val="63A023FD"/>
    <w:rsid w:val="63AA5838"/>
    <w:rsid w:val="63EE0517"/>
    <w:rsid w:val="63F7408D"/>
    <w:rsid w:val="644A1BF1"/>
    <w:rsid w:val="64846130"/>
    <w:rsid w:val="64B50C56"/>
    <w:rsid w:val="651248C9"/>
    <w:rsid w:val="652A0E1B"/>
    <w:rsid w:val="6548459E"/>
    <w:rsid w:val="654D338A"/>
    <w:rsid w:val="655F0063"/>
    <w:rsid w:val="657E1353"/>
    <w:rsid w:val="65A97F3A"/>
    <w:rsid w:val="65AB1EC4"/>
    <w:rsid w:val="65C1275F"/>
    <w:rsid w:val="65C46282"/>
    <w:rsid w:val="65D911F8"/>
    <w:rsid w:val="65EB11B2"/>
    <w:rsid w:val="65FF4C5D"/>
    <w:rsid w:val="6614042B"/>
    <w:rsid w:val="663124A4"/>
    <w:rsid w:val="663C7C5F"/>
    <w:rsid w:val="66432901"/>
    <w:rsid w:val="664464CF"/>
    <w:rsid w:val="665731FD"/>
    <w:rsid w:val="66644AC0"/>
    <w:rsid w:val="66774591"/>
    <w:rsid w:val="66A31A8D"/>
    <w:rsid w:val="66E22950"/>
    <w:rsid w:val="66F40F6A"/>
    <w:rsid w:val="67042D9A"/>
    <w:rsid w:val="67093AE4"/>
    <w:rsid w:val="672367EC"/>
    <w:rsid w:val="67596F6A"/>
    <w:rsid w:val="679372F0"/>
    <w:rsid w:val="67960A13"/>
    <w:rsid w:val="67E5290C"/>
    <w:rsid w:val="67FF5D55"/>
    <w:rsid w:val="681557BE"/>
    <w:rsid w:val="68461037"/>
    <w:rsid w:val="684728BC"/>
    <w:rsid w:val="68727B54"/>
    <w:rsid w:val="6885720A"/>
    <w:rsid w:val="688D250B"/>
    <w:rsid w:val="68A4747F"/>
    <w:rsid w:val="68BA5430"/>
    <w:rsid w:val="68CC012C"/>
    <w:rsid w:val="68D0384C"/>
    <w:rsid w:val="68DB545C"/>
    <w:rsid w:val="68E3252F"/>
    <w:rsid w:val="690F2DC3"/>
    <w:rsid w:val="69715B64"/>
    <w:rsid w:val="698536CB"/>
    <w:rsid w:val="69A47B44"/>
    <w:rsid w:val="69C2047C"/>
    <w:rsid w:val="69CA5CEF"/>
    <w:rsid w:val="69DA2E6B"/>
    <w:rsid w:val="69DD7064"/>
    <w:rsid w:val="69FF5804"/>
    <w:rsid w:val="6A082FED"/>
    <w:rsid w:val="6A1A5564"/>
    <w:rsid w:val="6A3967C7"/>
    <w:rsid w:val="6A402E56"/>
    <w:rsid w:val="6A7C6D6F"/>
    <w:rsid w:val="6AA61B4B"/>
    <w:rsid w:val="6AA83699"/>
    <w:rsid w:val="6ABF0A34"/>
    <w:rsid w:val="6AC326FD"/>
    <w:rsid w:val="6AD4431D"/>
    <w:rsid w:val="6AD6568D"/>
    <w:rsid w:val="6B0C6114"/>
    <w:rsid w:val="6B175760"/>
    <w:rsid w:val="6B1B7E43"/>
    <w:rsid w:val="6B231A42"/>
    <w:rsid w:val="6B2D6D2A"/>
    <w:rsid w:val="6B4B04D0"/>
    <w:rsid w:val="6B572E46"/>
    <w:rsid w:val="6B637FDF"/>
    <w:rsid w:val="6B725A52"/>
    <w:rsid w:val="6B8717C4"/>
    <w:rsid w:val="6B972505"/>
    <w:rsid w:val="6B9B47FD"/>
    <w:rsid w:val="6BCA315E"/>
    <w:rsid w:val="6BD6700F"/>
    <w:rsid w:val="6C0B672C"/>
    <w:rsid w:val="6C1E2F3B"/>
    <w:rsid w:val="6C310AFF"/>
    <w:rsid w:val="6C4B3375"/>
    <w:rsid w:val="6C4D4004"/>
    <w:rsid w:val="6C622F9C"/>
    <w:rsid w:val="6C7652F7"/>
    <w:rsid w:val="6C880DD1"/>
    <w:rsid w:val="6C9854C4"/>
    <w:rsid w:val="6CFE25F3"/>
    <w:rsid w:val="6D0125CE"/>
    <w:rsid w:val="6D1B59C0"/>
    <w:rsid w:val="6D527D69"/>
    <w:rsid w:val="6D68133A"/>
    <w:rsid w:val="6D6C2BD8"/>
    <w:rsid w:val="6D7777CF"/>
    <w:rsid w:val="6D986DD7"/>
    <w:rsid w:val="6D9B170F"/>
    <w:rsid w:val="6DBB2A0F"/>
    <w:rsid w:val="6DDF784E"/>
    <w:rsid w:val="6E157150"/>
    <w:rsid w:val="6E1F43B4"/>
    <w:rsid w:val="6E6733E4"/>
    <w:rsid w:val="6E75646A"/>
    <w:rsid w:val="6E94708B"/>
    <w:rsid w:val="6EA71918"/>
    <w:rsid w:val="6EAD6C32"/>
    <w:rsid w:val="6EB728E8"/>
    <w:rsid w:val="6ECB392F"/>
    <w:rsid w:val="6ED67B16"/>
    <w:rsid w:val="6F1F3C7A"/>
    <w:rsid w:val="6F5827CC"/>
    <w:rsid w:val="6F5D2530"/>
    <w:rsid w:val="6F6D25F6"/>
    <w:rsid w:val="6F742218"/>
    <w:rsid w:val="6F8E0454"/>
    <w:rsid w:val="6F9B1F55"/>
    <w:rsid w:val="6FBE6B4F"/>
    <w:rsid w:val="70037EA7"/>
    <w:rsid w:val="70197961"/>
    <w:rsid w:val="704C0204"/>
    <w:rsid w:val="704E2A69"/>
    <w:rsid w:val="708D3537"/>
    <w:rsid w:val="70D02392"/>
    <w:rsid w:val="70DC21BD"/>
    <w:rsid w:val="70DF1913"/>
    <w:rsid w:val="711B7DAA"/>
    <w:rsid w:val="711F2F44"/>
    <w:rsid w:val="713A4BCA"/>
    <w:rsid w:val="714D405E"/>
    <w:rsid w:val="715C074A"/>
    <w:rsid w:val="71A0414B"/>
    <w:rsid w:val="71AF64FB"/>
    <w:rsid w:val="71B66E3D"/>
    <w:rsid w:val="71E74F23"/>
    <w:rsid w:val="71F31B1A"/>
    <w:rsid w:val="71F910B9"/>
    <w:rsid w:val="71FE70AD"/>
    <w:rsid w:val="72253C9E"/>
    <w:rsid w:val="728F4C95"/>
    <w:rsid w:val="72B50B7E"/>
    <w:rsid w:val="72C963D7"/>
    <w:rsid w:val="72F35B4A"/>
    <w:rsid w:val="73076EFF"/>
    <w:rsid w:val="73317BF9"/>
    <w:rsid w:val="7378100D"/>
    <w:rsid w:val="7378380D"/>
    <w:rsid w:val="73A51066"/>
    <w:rsid w:val="73A87EE6"/>
    <w:rsid w:val="73B2572E"/>
    <w:rsid w:val="73B5767C"/>
    <w:rsid w:val="73DE2B06"/>
    <w:rsid w:val="74122757"/>
    <w:rsid w:val="74205CEF"/>
    <w:rsid w:val="7434249C"/>
    <w:rsid w:val="74357542"/>
    <w:rsid w:val="745B39A7"/>
    <w:rsid w:val="746876E9"/>
    <w:rsid w:val="74895648"/>
    <w:rsid w:val="748D3CB1"/>
    <w:rsid w:val="74C04E12"/>
    <w:rsid w:val="74CF2E61"/>
    <w:rsid w:val="74DC2283"/>
    <w:rsid w:val="74EF425D"/>
    <w:rsid w:val="750051D8"/>
    <w:rsid w:val="7546596B"/>
    <w:rsid w:val="754F6A1D"/>
    <w:rsid w:val="75700970"/>
    <w:rsid w:val="75722D56"/>
    <w:rsid w:val="75826260"/>
    <w:rsid w:val="759727BC"/>
    <w:rsid w:val="75A07DA5"/>
    <w:rsid w:val="75C44D0C"/>
    <w:rsid w:val="75D40748"/>
    <w:rsid w:val="75E9513C"/>
    <w:rsid w:val="75F47E54"/>
    <w:rsid w:val="760D2A7F"/>
    <w:rsid w:val="763D3B4D"/>
    <w:rsid w:val="7693673A"/>
    <w:rsid w:val="769B452E"/>
    <w:rsid w:val="76AA29C3"/>
    <w:rsid w:val="76E97A53"/>
    <w:rsid w:val="76EA0153"/>
    <w:rsid w:val="76F7737E"/>
    <w:rsid w:val="770149B7"/>
    <w:rsid w:val="77092768"/>
    <w:rsid w:val="77093BD7"/>
    <w:rsid w:val="772C33D8"/>
    <w:rsid w:val="77680E74"/>
    <w:rsid w:val="77875EDC"/>
    <w:rsid w:val="77A35C25"/>
    <w:rsid w:val="77B05FA6"/>
    <w:rsid w:val="77BA67F0"/>
    <w:rsid w:val="77DA3008"/>
    <w:rsid w:val="77F92FB3"/>
    <w:rsid w:val="783C6B96"/>
    <w:rsid w:val="784449F5"/>
    <w:rsid w:val="78505750"/>
    <w:rsid w:val="78592505"/>
    <w:rsid w:val="789B0816"/>
    <w:rsid w:val="78C57641"/>
    <w:rsid w:val="78DA2CBA"/>
    <w:rsid w:val="78DB3420"/>
    <w:rsid w:val="78DF4BA6"/>
    <w:rsid w:val="78E5308A"/>
    <w:rsid w:val="791F0AD3"/>
    <w:rsid w:val="7931117A"/>
    <w:rsid w:val="79351A60"/>
    <w:rsid w:val="793E4C60"/>
    <w:rsid w:val="79A902B2"/>
    <w:rsid w:val="79CC570C"/>
    <w:rsid w:val="79D31BA3"/>
    <w:rsid w:val="79E74E9F"/>
    <w:rsid w:val="7A067586"/>
    <w:rsid w:val="7A271311"/>
    <w:rsid w:val="7A2A1FCC"/>
    <w:rsid w:val="7A3A5E0C"/>
    <w:rsid w:val="7A3D3698"/>
    <w:rsid w:val="7A9058D3"/>
    <w:rsid w:val="7A9425AD"/>
    <w:rsid w:val="7A994BBA"/>
    <w:rsid w:val="7A9E354A"/>
    <w:rsid w:val="7AA12ABC"/>
    <w:rsid w:val="7AAC0AB8"/>
    <w:rsid w:val="7AD6217D"/>
    <w:rsid w:val="7AE22F2E"/>
    <w:rsid w:val="7AEC00ED"/>
    <w:rsid w:val="7B012139"/>
    <w:rsid w:val="7B023201"/>
    <w:rsid w:val="7B0801A0"/>
    <w:rsid w:val="7B09415C"/>
    <w:rsid w:val="7B29556A"/>
    <w:rsid w:val="7B2B1088"/>
    <w:rsid w:val="7B5A49B8"/>
    <w:rsid w:val="7B7610C6"/>
    <w:rsid w:val="7B8D6D92"/>
    <w:rsid w:val="7BD571AE"/>
    <w:rsid w:val="7BE94652"/>
    <w:rsid w:val="7BF1074D"/>
    <w:rsid w:val="7C003D20"/>
    <w:rsid w:val="7C4D1424"/>
    <w:rsid w:val="7C5D3F46"/>
    <w:rsid w:val="7C7C39A0"/>
    <w:rsid w:val="7CA10783"/>
    <w:rsid w:val="7CA757A6"/>
    <w:rsid w:val="7CAA7279"/>
    <w:rsid w:val="7CBB7EA9"/>
    <w:rsid w:val="7CFB07D3"/>
    <w:rsid w:val="7D176F20"/>
    <w:rsid w:val="7D2D0A25"/>
    <w:rsid w:val="7D4A45B8"/>
    <w:rsid w:val="7D514328"/>
    <w:rsid w:val="7D5951F8"/>
    <w:rsid w:val="7D60373C"/>
    <w:rsid w:val="7D79524D"/>
    <w:rsid w:val="7D8F513E"/>
    <w:rsid w:val="7DBC1313"/>
    <w:rsid w:val="7DD33A81"/>
    <w:rsid w:val="7E0E7B3A"/>
    <w:rsid w:val="7E1E0E39"/>
    <w:rsid w:val="7E306838"/>
    <w:rsid w:val="7E396B79"/>
    <w:rsid w:val="7E5468B5"/>
    <w:rsid w:val="7E580E65"/>
    <w:rsid w:val="7E6D58E2"/>
    <w:rsid w:val="7E7C2199"/>
    <w:rsid w:val="7E81225C"/>
    <w:rsid w:val="7E913D70"/>
    <w:rsid w:val="7E92171B"/>
    <w:rsid w:val="7E9366CB"/>
    <w:rsid w:val="7ECF4F0B"/>
    <w:rsid w:val="7F211154"/>
    <w:rsid w:val="7F393237"/>
    <w:rsid w:val="7F4E6E70"/>
    <w:rsid w:val="7F616534"/>
    <w:rsid w:val="7FAE4E50"/>
    <w:rsid w:val="7FBF303C"/>
    <w:rsid w:val="7FC6297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nhideWhenUsed="0" w:uiPriority="99" w:semiHidden="0" w:name="heading 3"/>
    <w:lsdException w:qFormat="1" w:unhideWhenUsed="0" w:uiPriority="99" w:semiHidden="0" w:name="heading 4" w:locked="1"/>
    <w:lsdException w:qFormat="1" w:uiPriority="0" w:name="heading 5" w:locked="1"/>
    <w:lsdException w:qFormat="1" w:uiPriority="0" w:name="heading 6" w:locked="1"/>
    <w:lsdException w:qFormat="1" w:uiPriority="0" w:semiHidden="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0" w:name="toc 2" w:locked="1"/>
    <w:lsdException w:uiPriority="0" w:name="toc 3" w:locked="1"/>
    <w:lsdException w:qFormat="1" w:unhideWhenUsed="0" w:uiPriority="0" w:semiHidden="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20" w:semiHidden="0" w:name="Emphasis" w:locked="1"/>
    <w:lsdException w:uiPriority="99" w:name="Document Map"/>
    <w:lsdException w:qFormat="1" w:unhideWhenUsed="0"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99"/>
    <w:pPr>
      <w:keepNext/>
      <w:jc w:val="center"/>
      <w:outlineLvl w:val="0"/>
    </w:pPr>
    <w:rPr>
      <w:rFonts w:ascii="楷体_GB2312" w:eastAsia="楷体_GB2312"/>
      <w:sz w:val="28"/>
      <w:szCs w:val="28"/>
    </w:rPr>
  </w:style>
  <w:style w:type="paragraph" w:styleId="3">
    <w:name w:val="heading 2"/>
    <w:basedOn w:val="1"/>
    <w:next w:val="1"/>
    <w:qFormat/>
    <w:locked/>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48"/>
    <w:qFormat/>
    <w:uiPriority w:val="99"/>
    <w:pPr>
      <w:keepNext/>
      <w:keepLines/>
      <w:spacing w:before="260" w:after="260" w:line="416" w:lineRule="auto"/>
      <w:outlineLvl w:val="2"/>
    </w:pPr>
    <w:rPr>
      <w:b/>
      <w:bCs/>
      <w:sz w:val="32"/>
      <w:szCs w:val="32"/>
    </w:rPr>
  </w:style>
  <w:style w:type="paragraph" w:styleId="5">
    <w:name w:val="heading 4"/>
    <w:basedOn w:val="1"/>
    <w:next w:val="1"/>
    <w:qFormat/>
    <w:locked/>
    <w:uiPriority w:val="99"/>
    <w:pPr>
      <w:keepNext/>
      <w:keepLines/>
      <w:spacing w:before="280" w:after="290" w:line="374" w:lineRule="auto"/>
      <w:outlineLvl w:val="3"/>
    </w:pPr>
    <w:rPr>
      <w:rFonts w:ascii="Arial" w:hAnsi="Arial" w:eastAsia="黑体" w:cs="Arial"/>
      <w:b/>
      <w:bCs/>
      <w:sz w:val="28"/>
      <w:szCs w:val="28"/>
    </w:rPr>
  </w:style>
  <w:style w:type="paragraph" w:styleId="6">
    <w:name w:val="heading 7"/>
    <w:basedOn w:val="1"/>
    <w:next w:val="1"/>
    <w:unhideWhenUsed/>
    <w:qFormat/>
    <w:locked/>
    <w:uiPriority w:val="0"/>
    <w:pPr>
      <w:keepNext/>
      <w:keepLines/>
      <w:spacing w:line="317" w:lineRule="auto"/>
      <w:outlineLvl w:val="6"/>
    </w:pPr>
    <w:rPr>
      <w:b/>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99"/>
    <w:pPr>
      <w:ind w:firstLine="420"/>
    </w:pPr>
  </w:style>
  <w:style w:type="paragraph" w:styleId="8">
    <w:name w:val="annotation text"/>
    <w:basedOn w:val="1"/>
    <w:link w:val="74"/>
    <w:semiHidden/>
    <w:unhideWhenUsed/>
    <w:qFormat/>
    <w:uiPriority w:val="99"/>
    <w:pPr>
      <w:jc w:val="left"/>
    </w:pPr>
  </w:style>
  <w:style w:type="paragraph" w:styleId="9">
    <w:name w:val="Body Text"/>
    <w:basedOn w:val="1"/>
    <w:next w:val="10"/>
    <w:link w:val="49"/>
    <w:qFormat/>
    <w:uiPriority w:val="99"/>
    <w:pPr>
      <w:spacing w:after="120"/>
    </w:pPr>
  </w:style>
  <w:style w:type="paragraph" w:customStyle="1" w:styleId="10">
    <w:name w:val="Default"/>
    <w:qFormat/>
    <w:uiPriority w:val="99"/>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styleId="11">
    <w:name w:val="Body Text Indent"/>
    <w:basedOn w:val="1"/>
    <w:link w:val="50"/>
    <w:qFormat/>
    <w:uiPriority w:val="99"/>
    <w:pPr>
      <w:spacing w:after="120"/>
      <w:ind w:left="420" w:leftChars="200"/>
    </w:pPr>
  </w:style>
  <w:style w:type="paragraph" w:styleId="12">
    <w:name w:val="Block Text"/>
    <w:basedOn w:val="1"/>
    <w:qFormat/>
    <w:uiPriority w:val="99"/>
    <w:pPr>
      <w:spacing w:after="120"/>
      <w:ind w:left="1440" w:leftChars="700" w:right="1440" w:rightChars="700"/>
      <w:jc w:val="left"/>
    </w:pPr>
  </w:style>
  <w:style w:type="paragraph" w:styleId="13">
    <w:name w:val="index 4"/>
    <w:basedOn w:val="1"/>
    <w:next w:val="1"/>
    <w:qFormat/>
    <w:uiPriority w:val="99"/>
    <w:pPr>
      <w:ind w:left="600" w:leftChars="600"/>
    </w:pPr>
  </w:style>
  <w:style w:type="paragraph" w:styleId="14">
    <w:name w:val="Plain Text"/>
    <w:basedOn w:val="1"/>
    <w:next w:val="1"/>
    <w:link w:val="52"/>
    <w:qFormat/>
    <w:uiPriority w:val="99"/>
    <w:rPr>
      <w:rFonts w:ascii="宋体" w:hAnsi="Courier New" w:cs="Courier New"/>
      <w:szCs w:val="21"/>
    </w:rPr>
  </w:style>
  <w:style w:type="paragraph" w:styleId="15">
    <w:name w:val="Date"/>
    <w:basedOn w:val="1"/>
    <w:next w:val="1"/>
    <w:link w:val="53"/>
    <w:qFormat/>
    <w:uiPriority w:val="99"/>
    <w:rPr>
      <w:sz w:val="24"/>
      <w:szCs w:val="24"/>
    </w:rPr>
  </w:style>
  <w:style w:type="paragraph" w:styleId="16">
    <w:name w:val="Balloon Text"/>
    <w:basedOn w:val="1"/>
    <w:link w:val="54"/>
    <w:semiHidden/>
    <w:qFormat/>
    <w:uiPriority w:val="99"/>
    <w:rPr>
      <w:sz w:val="18"/>
      <w:szCs w:val="18"/>
    </w:rPr>
  </w:style>
  <w:style w:type="paragraph" w:styleId="17">
    <w:name w:val="footer"/>
    <w:basedOn w:val="1"/>
    <w:link w:val="55"/>
    <w:qFormat/>
    <w:uiPriority w:val="99"/>
    <w:pPr>
      <w:tabs>
        <w:tab w:val="center" w:pos="4153"/>
        <w:tab w:val="right" w:pos="8306"/>
      </w:tabs>
      <w:snapToGrid w:val="0"/>
      <w:jc w:val="left"/>
    </w:pPr>
    <w:rPr>
      <w:sz w:val="18"/>
      <w:szCs w:val="18"/>
    </w:rPr>
  </w:style>
  <w:style w:type="paragraph" w:styleId="18">
    <w:name w:val="envelope return"/>
    <w:basedOn w:val="1"/>
    <w:qFormat/>
    <w:uiPriority w:val="99"/>
    <w:pPr>
      <w:snapToGrid w:val="0"/>
    </w:pPr>
    <w:rPr>
      <w:rFonts w:ascii="Arial" w:hAnsi="Arial"/>
    </w:rPr>
  </w:style>
  <w:style w:type="paragraph" w:styleId="19">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pPr>
      <w:spacing w:before="120" w:after="120"/>
      <w:jc w:val="left"/>
    </w:pPr>
    <w:rPr>
      <w:b/>
      <w:bCs/>
      <w:caps/>
      <w:sz w:val="20"/>
      <w:szCs w:val="20"/>
    </w:rPr>
  </w:style>
  <w:style w:type="paragraph" w:styleId="21">
    <w:name w:val="toc 4"/>
    <w:basedOn w:val="1"/>
    <w:next w:val="1"/>
    <w:qFormat/>
    <w:locked/>
    <w:uiPriority w:val="0"/>
    <w:pPr>
      <w:ind w:left="1260" w:leftChars="600"/>
    </w:pPr>
  </w:style>
  <w:style w:type="paragraph" w:styleId="22">
    <w:name w:val="Body Text 2"/>
    <w:basedOn w:val="1"/>
    <w:qFormat/>
    <w:uiPriority w:val="0"/>
    <w:pPr>
      <w:widowControl/>
      <w:jc w:val="center"/>
    </w:pPr>
    <w:rPr>
      <w:rFonts w:ascii="楷体_GB2312" w:eastAsia="楷体_GB2312"/>
      <w:sz w:val="28"/>
      <w:szCs w:val="28"/>
    </w:rPr>
  </w:style>
  <w:style w:type="paragraph" w:styleId="23">
    <w:name w:val="Normal (Web)"/>
    <w:basedOn w:val="1"/>
    <w:semiHidden/>
    <w:unhideWhenUsed/>
    <w:qFormat/>
    <w:uiPriority w:val="99"/>
    <w:pPr>
      <w:jc w:val="left"/>
    </w:pPr>
    <w:rPr>
      <w:kern w:val="0"/>
      <w:sz w:val="24"/>
    </w:rPr>
  </w:style>
  <w:style w:type="paragraph" w:styleId="24">
    <w:name w:val="annotation subject"/>
    <w:basedOn w:val="8"/>
    <w:next w:val="1"/>
    <w:link w:val="75"/>
    <w:semiHidden/>
    <w:unhideWhenUsed/>
    <w:qFormat/>
    <w:uiPriority w:val="99"/>
    <w:rPr>
      <w:b/>
      <w:bCs/>
    </w:rPr>
  </w:style>
  <w:style w:type="paragraph" w:styleId="25">
    <w:name w:val="Body Text First Indent"/>
    <w:basedOn w:val="9"/>
    <w:qFormat/>
    <w:uiPriority w:val="0"/>
    <w:pPr>
      <w:ind w:firstLine="200"/>
    </w:pPr>
    <w:rPr>
      <w:rFonts w:ascii="仿宋_GB2312" w:hAnsi="Times New Roman" w:eastAsia="仿宋_GB2312"/>
      <w:sz w:val="30"/>
      <w:szCs w:val="30"/>
    </w:rPr>
  </w:style>
  <w:style w:type="paragraph" w:styleId="26">
    <w:name w:val="Body Text First Indent 2"/>
    <w:basedOn w:val="11"/>
    <w:next w:val="25"/>
    <w:link w:val="51"/>
    <w:qFormat/>
    <w:uiPriority w:val="99"/>
    <w:pPr>
      <w:ind w:firstLine="420" w:firstLineChars="200"/>
    </w:pPr>
  </w:style>
  <w:style w:type="table" w:styleId="28">
    <w:name w:val="Table Grid"/>
    <w:basedOn w:val="2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
  </w:style>
  <w:style w:type="character" w:styleId="30">
    <w:name w:val="page number"/>
    <w:basedOn w:val="29"/>
    <w:qFormat/>
    <w:uiPriority w:val="99"/>
    <w:rPr>
      <w:rFonts w:cs="Times New Roman"/>
    </w:rPr>
  </w:style>
  <w:style w:type="character" w:styleId="31">
    <w:name w:val="FollowedHyperlink"/>
    <w:basedOn w:val="29"/>
    <w:semiHidden/>
    <w:unhideWhenUsed/>
    <w:qFormat/>
    <w:uiPriority w:val="99"/>
    <w:rPr>
      <w:color w:val="800080"/>
      <w:u w:val="none"/>
    </w:rPr>
  </w:style>
  <w:style w:type="character" w:styleId="32">
    <w:name w:val="Emphasis"/>
    <w:basedOn w:val="29"/>
    <w:qFormat/>
    <w:locked/>
    <w:uiPriority w:val="20"/>
    <w:rPr>
      <w:i/>
      <w:iCs/>
    </w:rPr>
  </w:style>
  <w:style w:type="character" w:styleId="33">
    <w:name w:val="HTML Definition"/>
    <w:basedOn w:val="29"/>
    <w:semiHidden/>
    <w:unhideWhenUsed/>
    <w:qFormat/>
    <w:uiPriority w:val="99"/>
  </w:style>
  <w:style w:type="character" w:styleId="34">
    <w:name w:val="HTML Typewriter"/>
    <w:basedOn w:val="29"/>
    <w:semiHidden/>
    <w:unhideWhenUsed/>
    <w:qFormat/>
    <w:uiPriority w:val="99"/>
    <w:rPr>
      <w:rFonts w:ascii="monospace" w:hAnsi="monospace" w:eastAsia="monospace" w:cs="monospace"/>
      <w:sz w:val="20"/>
    </w:rPr>
  </w:style>
  <w:style w:type="character" w:styleId="35">
    <w:name w:val="HTML Acronym"/>
    <w:basedOn w:val="29"/>
    <w:semiHidden/>
    <w:unhideWhenUsed/>
    <w:qFormat/>
    <w:uiPriority w:val="99"/>
  </w:style>
  <w:style w:type="character" w:styleId="36">
    <w:name w:val="HTML Variable"/>
    <w:basedOn w:val="29"/>
    <w:semiHidden/>
    <w:unhideWhenUsed/>
    <w:qFormat/>
    <w:uiPriority w:val="99"/>
  </w:style>
  <w:style w:type="character" w:styleId="37">
    <w:name w:val="Hyperlink"/>
    <w:basedOn w:val="29"/>
    <w:qFormat/>
    <w:uiPriority w:val="99"/>
    <w:rPr>
      <w:rFonts w:cs="Times New Roman"/>
      <w:color w:val="0000FF"/>
      <w:u w:val="single"/>
    </w:rPr>
  </w:style>
  <w:style w:type="character" w:styleId="38">
    <w:name w:val="HTML Code"/>
    <w:basedOn w:val="29"/>
    <w:semiHidden/>
    <w:unhideWhenUsed/>
    <w:qFormat/>
    <w:uiPriority w:val="99"/>
    <w:rPr>
      <w:rFonts w:hint="default" w:ascii="monospace" w:hAnsi="monospace" w:eastAsia="monospace" w:cs="monospace"/>
      <w:sz w:val="20"/>
    </w:rPr>
  </w:style>
  <w:style w:type="character" w:styleId="39">
    <w:name w:val="annotation reference"/>
    <w:basedOn w:val="29"/>
    <w:semiHidden/>
    <w:unhideWhenUsed/>
    <w:qFormat/>
    <w:uiPriority w:val="99"/>
    <w:rPr>
      <w:sz w:val="21"/>
      <w:szCs w:val="21"/>
    </w:rPr>
  </w:style>
  <w:style w:type="character" w:styleId="40">
    <w:name w:val="HTML Cite"/>
    <w:basedOn w:val="29"/>
    <w:semiHidden/>
    <w:unhideWhenUsed/>
    <w:qFormat/>
    <w:uiPriority w:val="99"/>
  </w:style>
  <w:style w:type="character" w:styleId="41">
    <w:name w:val="HTML Keyboard"/>
    <w:basedOn w:val="29"/>
    <w:semiHidden/>
    <w:unhideWhenUsed/>
    <w:qFormat/>
    <w:uiPriority w:val="99"/>
    <w:rPr>
      <w:rFonts w:hint="default" w:ascii="monospace" w:hAnsi="monospace" w:eastAsia="monospace" w:cs="monospace"/>
      <w:sz w:val="20"/>
    </w:rPr>
  </w:style>
  <w:style w:type="character" w:styleId="42">
    <w:name w:val="HTML Sample"/>
    <w:basedOn w:val="29"/>
    <w:semiHidden/>
    <w:unhideWhenUsed/>
    <w:qFormat/>
    <w:uiPriority w:val="99"/>
    <w:rPr>
      <w:rFonts w:hint="default" w:ascii="monospace" w:hAnsi="monospace" w:eastAsia="monospace" w:cs="monospace"/>
    </w:rPr>
  </w:style>
  <w:style w:type="paragraph" w:customStyle="1" w:styleId="43">
    <w:name w:val="正文首行缩进 21"/>
    <w:basedOn w:val="44"/>
    <w:next w:val="1"/>
    <w:qFormat/>
    <w:uiPriority w:val="0"/>
    <w:pPr>
      <w:spacing w:after="0" w:line="360" w:lineRule="auto"/>
      <w:ind w:left="0" w:firstLine="420"/>
    </w:pPr>
    <w:rPr>
      <w:rFonts w:ascii="宋体" w:hAnsi="宋体"/>
      <w:sz w:val="20"/>
      <w:szCs w:val="20"/>
    </w:rPr>
  </w:style>
  <w:style w:type="paragraph" w:customStyle="1" w:styleId="44">
    <w:name w:val="正文文本缩进1"/>
    <w:basedOn w:val="1"/>
    <w:next w:val="45"/>
    <w:unhideWhenUsed/>
    <w:qFormat/>
    <w:uiPriority w:val="0"/>
    <w:pPr>
      <w:spacing w:after="120"/>
      <w:ind w:left="420"/>
    </w:pPr>
  </w:style>
  <w:style w:type="paragraph" w:customStyle="1" w:styleId="45">
    <w:name w:val="寄信人地址1"/>
    <w:basedOn w:val="1"/>
    <w:unhideWhenUsed/>
    <w:qFormat/>
    <w:uiPriority w:val="99"/>
    <w:rPr>
      <w:rFonts w:ascii="Arial" w:hAnsi="Arial" w:eastAsia="楷体_GB2312"/>
      <w:sz w:val="26"/>
      <w:szCs w:val="20"/>
    </w:rPr>
  </w:style>
  <w:style w:type="paragraph" w:customStyle="1" w:styleId="46">
    <w:name w:val="正文（缩进）"/>
    <w:basedOn w:val="1"/>
    <w:qFormat/>
    <w:uiPriority w:val="99"/>
    <w:pPr>
      <w:spacing w:before="156" w:after="156"/>
      <w:ind w:firstLine="480" w:firstLineChars="200"/>
    </w:pPr>
    <w:rPr>
      <w:rFonts w:ascii="Times New Roman" w:hAnsi="Times New Roman"/>
      <w:szCs w:val="21"/>
    </w:rPr>
  </w:style>
  <w:style w:type="character" w:customStyle="1" w:styleId="47">
    <w:name w:val="标题 1 字符"/>
    <w:basedOn w:val="29"/>
    <w:link w:val="2"/>
    <w:qFormat/>
    <w:locked/>
    <w:uiPriority w:val="99"/>
    <w:rPr>
      <w:rFonts w:ascii="楷体_GB2312" w:hAnsi="Calibri" w:eastAsia="楷体_GB2312" w:cs="Times New Roman"/>
      <w:sz w:val="28"/>
      <w:szCs w:val="28"/>
    </w:rPr>
  </w:style>
  <w:style w:type="character" w:customStyle="1" w:styleId="48">
    <w:name w:val="标题 3 字符"/>
    <w:basedOn w:val="29"/>
    <w:link w:val="4"/>
    <w:semiHidden/>
    <w:qFormat/>
    <w:locked/>
    <w:uiPriority w:val="99"/>
    <w:rPr>
      <w:rFonts w:cs="Times New Roman"/>
      <w:b/>
      <w:bCs/>
      <w:sz w:val="32"/>
      <w:szCs w:val="32"/>
    </w:rPr>
  </w:style>
  <w:style w:type="character" w:customStyle="1" w:styleId="49">
    <w:name w:val="正文文本 字符"/>
    <w:basedOn w:val="29"/>
    <w:link w:val="9"/>
    <w:semiHidden/>
    <w:qFormat/>
    <w:uiPriority w:val="99"/>
    <w:rPr>
      <w:rFonts w:ascii="Calibri" w:hAnsi="Calibri"/>
    </w:rPr>
  </w:style>
  <w:style w:type="character" w:customStyle="1" w:styleId="50">
    <w:name w:val="正文文本缩进 字符"/>
    <w:basedOn w:val="29"/>
    <w:link w:val="11"/>
    <w:semiHidden/>
    <w:qFormat/>
    <w:uiPriority w:val="99"/>
    <w:rPr>
      <w:rFonts w:ascii="Calibri" w:hAnsi="Calibri"/>
    </w:rPr>
  </w:style>
  <w:style w:type="character" w:customStyle="1" w:styleId="51">
    <w:name w:val="正文文本首行缩进 2 字符"/>
    <w:basedOn w:val="50"/>
    <w:link w:val="26"/>
    <w:semiHidden/>
    <w:qFormat/>
    <w:uiPriority w:val="99"/>
    <w:rPr>
      <w:rFonts w:ascii="Calibri" w:hAnsi="Calibri"/>
    </w:rPr>
  </w:style>
  <w:style w:type="character" w:customStyle="1" w:styleId="52">
    <w:name w:val="纯文本 字符"/>
    <w:basedOn w:val="29"/>
    <w:link w:val="14"/>
    <w:qFormat/>
    <w:locked/>
    <w:uiPriority w:val="99"/>
    <w:rPr>
      <w:rFonts w:ascii="宋体" w:hAnsi="Courier New" w:eastAsia="宋体" w:cs="Courier New"/>
      <w:sz w:val="21"/>
      <w:szCs w:val="21"/>
    </w:rPr>
  </w:style>
  <w:style w:type="character" w:customStyle="1" w:styleId="53">
    <w:name w:val="日期 字符"/>
    <w:basedOn w:val="29"/>
    <w:link w:val="15"/>
    <w:qFormat/>
    <w:locked/>
    <w:uiPriority w:val="99"/>
    <w:rPr>
      <w:rFonts w:ascii="Calibri" w:hAnsi="Calibri" w:eastAsia="宋体" w:cs="Times New Roman"/>
      <w:sz w:val="24"/>
      <w:szCs w:val="24"/>
    </w:rPr>
  </w:style>
  <w:style w:type="character" w:customStyle="1" w:styleId="54">
    <w:name w:val="批注框文本 字符"/>
    <w:basedOn w:val="29"/>
    <w:link w:val="16"/>
    <w:semiHidden/>
    <w:qFormat/>
    <w:locked/>
    <w:uiPriority w:val="99"/>
    <w:rPr>
      <w:rFonts w:cs="Times New Roman"/>
      <w:sz w:val="18"/>
      <w:szCs w:val="18"/>
    </w:rPr>
  </w:style>
  <w:style w:type="character" w:customStyle="1" w:styleId="55">
    <w:name w:val="页脚 字符"/>
    <w:basedOn w:val="29"/>
    <w:link w:val="17"/>
    <w:qFormat/>
    <w:locked/>
    <w:uiPriority w:val="99"/>
    <w:rPr>
      <w:rFonts w:cs="Times New Roman"/>
      <w:sz w:val="18"/>
      <w:szCs w:val="18"/>
    </w:rPr>
  </w:style>
  <w:style w:type="character" w:customStyle="1" w:styleId="56">
    <w:name w:val="页眉 字符"/>
    <w:basedOn w:val="29"/>
    <w:link w:val="19"/>
    <w:qFormat/>
    <w:locked/>
    <w:uiPriority w:val="99"/>
    <w:rPr>
      <w:rFonts w:cs="Times New Roman"/>
      <w:sz w:val="18"/>
      <w:szCs w:val="18"/>
    </w:rPr>
  </w:style>
  <w:style w:type="paragraph" w:customStyle="1" w:styleId="57">
    <w:name w:val="一级目录"/>
    <w:next w:val="1"/>
    <w:qFormat/>
    <w:uiPriority w:val="99"/>
    <w:pPr>
      <w:spacing w:afterLines="100"/>
      <w:jc w:val="center"/>
      <w:outlineLvl w:val="0"/>
    </w:pPr>
    <w:rPr>
      <w:rFonts w:ascii="黑体" w:hAnsi="Calibri" w:eastAsia="黑体" w:cs="Times New Roman"/>
      <w:b/>
      <w:kern w:val="2"/>
      <w:sz w:val="44"/>
      <w:szCs w:val="44"/>
      <w:lang w:val="en-US" w:eastAsia="zh-CN" w:bidi="ar-SA"/>
    </w:rPr>
  </w:style>
  <w:style w:type="paragraph" w:customStyle="1" w:styleId="58">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59">
    <w:name w:val="正文缩进2"/>
    <w:basedOn w:val="1"/>
    <w:qFormat/>
    <w:uiPriority w:val="99"/>
    <w:pPr>
      <w:spacing w:before="50"/>
      <w:ind w:left="200" w:firstLine="420" w:firstLineChars="200"/>
    </w:pPr>
    <w:rPr>
      <w:sz w:val="24"/>
      <w:szCs w:val="24"/>
    </w:rPr>
  </w:style>
  <w:style w:type="character" w:customStyle="1" w:styleId="60">
    <w:name w:val="NormalCharacter"/>
    <w:semiHidden/>
    <w:qFormat/>
    <w:uiPriority w:val="99"/>
    <w:rPr>
      <w:rFonts w:ascii="宋体" w:hAnsi="宋体" w:eastAsia="宋体"/>
      <w:sz w:val="22"/>
      <w:lang w:val="zh-CN" w:eastAsia="zh-CN"/>
    </w:rPr>
  </w:style>
  <w:style w:type="paragraph" w:customStyle="1" w:styleId="61">
    <w:name w:val="正文缩进2格"/>
    <w:basedOn w:val="1"/>
    <w:qFormat/>
    <w:uiPriority w:val="99"/>
    <w:pPr>
      <w:spacing w:line="600" w:lineRule="exact"/>
      <w:ind w:firstLine="639" w:firstLineChars="206"/>
    </w:pPr>
    <w:rPr>
      <w:rFonts w:ascii="仿宋_GB2312" w:hAnsi="宋体" w:eastAsia="仿宋_GB2312"/>
      <w:kern w:val="0"/>
      <w:sz w:val="31"/>
      <w:szCs w:val="28"/>
    </w:rPr>
  </w:style>
  <w:style w:type="paragraph" w:styleId="62">
    <w:name w:val="List Paragraph"/>
    <w:basedOn w:val="1"/>
    <w:qFormat/>
    <w:uiPriority w:val="99"/>
    <w:pPr>
      <w:ind w:firstLine="420" w:firstLineChars="200"/>
    </w:pPr>
  </w:style>
  <w:style w:type="paragraph" w:customStyle="1" w:styleId="63">
    <w:name w:val="Table Paragraph"/>
    <w:basedOn w:val="1"/>
    <w:qFormat/>
    <w:uiPriority w:val="99"/>
    <w:pPr>
      <w:autoSpaceDE w:val="0"/>
      <w:autoSpaceDN w:val="0"/>
      <w:jc w:val="left"/>
    </w:pPr>
    <w:rPr>
      <w:rFonts w:ascii="宋体" w:hAnsi="宋体" w:cs="宋体"/>
      <w:kern w:val="0"/>
      <w:sz w:val="22"/>
      <w:lang w:val="zh-CN"/>
    </w:rPr>
  </w:style>
  <w:style w:type="paragraph" w:customStyle="1" w:styleId="64">
    <w:name w:val="二级目录"/>
    <w:next w:val="1"/>
    <w:qFormat/>
    <w:uiPriority w:val="99"/>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paragraph" w:customStyle="1" w:styleId="65">
    <w:name w:val="flType"/>
    <w:basedOn w:val="1"/>
    <w:qFormat/>
    <w:uiPriority w:val="99"/>
    <w:pPr>
      <w:adjustRightInd w:val="0"/>
      <w:spacing w:after="284" w:line="113" w:lineRule="atLeast"/>
      <w:jc w:val="center"/>
      <w:textAlignment w:val="baseline"/>
    </w:pPr>
    <w:rPr>
      <w:kern w:val="0"/>
      <w:sz w:val="24"/>
      <w:szCs w:val="20"/>
    </w:rPr>
  </w:style>
  <w:style w:type="paragraph" w:customStyle="1" w:styleId="66">
    <w:name w:val="正文首行缩进2字符"/>
    <w:basedOn w:val="1"/>
    <w:qFormat/>
    <w:uiPriority w:val="99"/>
    <w:pPr>
      <w:spacing w:before="60" w:after="60" w:line="360" w:lineRule="auto"/>
      <w:ind w:firstLine="482"/>
      <w:jc w:val="left"/>
    </w:pPr>
    <w:rPr>
      <w:rFonts w:ascii="Times New Roman" w:hAnsi="Times New Roman"/>
      <w:iCs/>
      <w:kern w:val="0"/>
      <w:sz w:val="24"/>
    </w:rPr>
  </w:style>
  <w:style w:type="character" w:customStyle="1" w:styleId="67">
    <w:name w:val="UserStyle_2"/>
    <w:qFormat/>
    <w:uiPriority w:val="0"/>
  </w:style>
  <w:style w:type="paragraph" w:customStyle="1" w:styleId="68">
    <w:name w:val="首行缩进"/>
    <w:basedOn w:val="1"/>
    <w:qFormat/>
    <w:uiPriority w:val="0"/>
    <w:pPr>
      <w:spacing w:line="360" w:lineRule="auto"/>
      <w:ind w:firstLine="480" w:firstLineChars="200"/>
    </w:pPr>
  </w:style>
  <w:style w:type="character" w:customStyle="1" w:styleId="69">
    <w:name w:val="first-child"/>
    <w:basedOn w:val="29"/>
    <w:qFormat/>
    <w:uiPriority w:val="0"/>
  </w:style>
  <w:style w:type="character" w:customStyle="1" w:styleId="70">
    <w:name w:val="hover3"/>
    <w:basedOn w:val="29"/>
    <w:qFormat/>
    <w:uiPriority w:val="0"/>
    <w:rPr>
      <w:color w:val="FFFFFF"/>
    </w:rPr>
  </w:style>
  <w:style w:type="character" w:customStyle="1" w:styleId="71">
    <w:name w:val="hover4"/>
    <w:basedOn w:val="29"/>
    <w:qFormat/>
    <w:uiPriority w:val="0"/>
    <w:rPr>
      <w:color w:val="5FB878"/>
    </w:rPr>
  </w:style>
  <w:style w:type="character" w:customStyle="1" w:styleId="72">
    <w:name w:val="hover5"/>
    <w:basedOn w:val="29"/>
    <w:qFormat/>
    <w:uiPriority w:val="0"/>
    <w:rPr>
      <w:color w:val="5FB878"/>
    </w:rPr>
  </w:style>
  <w:style w:type="character" w:customStyle="1" w:styleId="73">
    <w:name w:val="layui-this"/>
    <w:basedOn w:val="29"/>
    <w:qFormat/>
    <w:uiPriority w:val="0"/>
    <w:rPr>
      <w:bdr w:val="single" w:color="EEEEEE" w:sz="4" w:space="0"/>
      <w:shd w:val="clear" w:color="auto" w:fill="FFFFFF"/>
    </w:rPr>
  </w:style>
  <w:style w:type="character" w:customStyle="1" w:styleId="74">
    <w:name w:val="批注文字 字符"/>
    <w:basedOn w:val="29"/>
    <w:link w:val="8"/>
    <w:semiHidden/>
    <w:qFormat/>
    <w:uiPriority w:val="99"/>
    <w:rPr>
      <w:rFonts w:ascii="Calibri" w:hAnsi="Calibri"/>
      <w:kern w:val="2"/>
      <w:sz w:val="21"/>
      <w:szCs w:val="22"/>
    </w:rPr>
  </w:style>
  <w:style w:type="character" w:customStyle="1" w:styleId="75">
    <w:name w:val="批注主题 字符"/>
    <w:basedOn w:val="74"/>
    <w:link w:val="24"/>
    <w:semiHidden/>
    <w:qFormat/>
    <w:uiPriority w:val="99"/>
    <w:rPr>
      <w:rFonts w:ascii="Calibri" w:hAnsi="Calibri"/>
      <w:b/>
      <w:bCs/>
      <w:kern w:val="2"/>
      <w:sz w:val="21"/>
      <w:szCs w:val="22"/>
    </w:rPr>
  </w:style>
  <w:style w:type="paragraph" w:customStyle="1" w:styleId="76">
    <w:name w:val="修订1"/>
    <w:hidden/>
    <w:semiHidden/>
    <w:qFormat/>
    <w:uiPriority w:val="99"/>
    <w:rPr>
      <w:rFonts w:ascii="Calibri" w:hAnsi="Calibri" w:eastAsia="宋体" w:cs="Times New Roman"/>
      <w:kern w:val="2"/>
      <w:sz w:val="21"/>
      <w:szCs w:val="22"/>
      <w:lang w:val="en-US" w:eastAsia="zh-CN" w:bidi="ar-SA"/>
    </w:rPr>
  </w:style>
  <w:style w:type="character" w:customStyle="1" w:styleId="77">
    <w:name w:val="UserStyle_1"/>
    <w:qFormat/>
    <w:uiPriority w:val="0"/>
  </w:style>
  <w:style w:type="paragraph" w:customStyle="1" w:styleId="78">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9">
    <w:name w:val="标题 51"/>
    <w:basedOn w:val="1"/>
    <w:qFormat/>
    <w:uiPriority w:val="1"/>
    <w:pPr>
      <w:autoSpaceDE w:val="0"/>
      <w:autoSpaceDN w:val="0"/>
      <w:ind w:left="374"/>
      <w:jc w:val="left"/>
      <w:outlineLvl w:val="5"/>
    </w:pPr>
    <w:rPr>
      <w:rFonts w:ascii="宋体" w:hAnsi="宋体" w:cs="宋体"/>
      <w:b/>
      <w:bCs/>
      <w:kern w:val="0"/>
      <w:sz w:val="20"/>
      <w:szCs w:val="20"/>
      <w:lang w:val="zh-CN" w:bidi="zh-CN"/>
    </w:rPr>
  </w:style>
  <w:style w:type="paragraph" w:customStyle="1" w:styleId="80">
    <w:name w:val="PlainText"/>
    <w:basedOn w:val="1"/>
    <w:qFormat/>
    <w:uiPriority w:val="0"/>
    <w:rPr>
      <w:rFonts w:ascii="宋体" w:hAnsi="Courier New"/>
    </w:rPr>
  </w:style>
  <w:style w:type="paragraph" w:customStyle="1" w:styleId="81">
    <w:name w:val="UserStyle_7"/>
    <w:basedOn w:val="1"/>
    <w:qFormat/>
    <w:uiPriority w:val="0"/>
    <w:rPr>
      <w:rFonts w:ascii="宋体" w:hAnsi="Courier New"/>
      <w:sz w:val="28"/>
      <w:szCs w:val="20"/>
    </w:rPr>
  </w:style>
  <w:style w:type="paragraph" w:customStyle="1" w:styleId="82">
    <w:name w:val="179"/>
    <w:basedOn w:val="1"/>
    <w:qFormat/>
    <w:uiPriority w:val="0"/>
    <w:pPr>
      <w:ind w:firstLine="420" w:firstLineChars="200"/>
    </w:pPr>
  </w:style>
  <w:style w:type="paragraph" w:customStyle="1" w:styleId="83">
    <w:name w:val="UserStyle_8"/>
    <w:basedOn w:val="1"/>
    <w:qFormat/>
    <w:uiPriority w:val="0"/>
    <w:rPr>
      <w:rFonts w:ascii="宋体" w:hAnsi="Courier New"/>
      <w:sz w:val="28"/>
      <w:szCs w:val="20"/>
    </w:rPr>
  </w:style>
  <w:style w:type="paragraph" w:customStyle="1" w:styleId="84">
    <w:name w:val="UserStyle_0"/>
    <w:next w:val="1"/>
    <w:qFormat/>
    <w:uiPriority w:val="0"/>
    <w:pPr>
      <w:ind w:firstLine="200" w:firstLineChars="200"/>
      <w:jc w:val="both"/>
      <w:textAlignment w:val="baseline"/>
    </w:pPr>
    <w:rPr>
      <w:rFonts w:ascii="宋体" w:hAnsi="Times New Roman" w:eastAsia="宋体" w:cs="Times New Roman"/>
      <w:sz w:val="21"/>
      <w:lang w:val="en-US" w:eastAsia="zh-CN" w:bidi="ar-SA"/>
    </w:rPr>
  </w:style>
  <w:style w:type="paragraph" w:customStyle="1" w:styleId="85">
    <w:name w:val="页脚1"/>
    <w:basedOn w:val="1"/>
    <w:qFormat/>
    <w:uiPriority w:val="0"/>
    <w:pPr>
      <w:tabs>
        <w:tab w:val="center" w:pos="4153"/>
        <w:tab w:val="right" w:pos="8306"/>
      </w:tabs>
      <w:snapToGrid w:val="0"/>
      <w:jc w:val="left"/>
    </w:pPr>
    <w:rPr>
      <w:sz w:val="18"/>
      <w:szCs w:val="18"/>
    </w:rPr>
  </w:style>
  <w:style w:type="paragraph" w:customStyle="1" w:styleId="86">
    <w:name w:val="正文2"/>
    <w:basedOn w:val="1"/>
    <w:qFormat/>
    <w:uiPriority w:val="0"/>
    <w:pPr>
      <w:adjustRightInd w:val="0"/>
      <w:snapToGrid w:val="0"/>
      <w:spacing w:line="360" w:lineRule="auto"/>
      <w:ind w:firstLine="480" w:firstLineChars="200"/>
    </w:pPr>
    <w:rPr>
      <w:rFonts w:ascii="华文中宋" w:hAnsi="华文中宋" w:eastAsia="华文中宋"/>
      <w:sz w:val="24"/>
      <w:szCs w:val="21"/>
    </w:rPr>
  </w:style>
  <w:style w:type="paragraph" w:customStyle="1" w:styleId="87">
    <w:name w:val="Table Text"/>
    <w:basedOn w:val="1"/>
    <w:qFormat/>
    <w:uiPriority w:val="0"/>
    <w:pPr>
      <w:topLinePunct/>
      <w:adjustRightInd w:val="0"/>
      <w:snapToGrid w:val="0"/>
      <w:spacing w:before="80" w:after="80" w:line="240" w:lineRule="atLeast"/>
      <w:jc w:val="left"/>
    </w:pPr>
    <w:rPr>
      <w:rFonts w:cs="Arial"/>
      <w:kern w:val="0"/>
      <w:szCs w:val="21"/>
    </w:rPr>
  </w:style>
  <w:style w:type="paragraph" w:customStyle="1" w:styleId="88">
    <w:name w:val="Body text|1"/>
    <w:basedOn w:val="1"/>
    <w:qFormat/>
    <w:uiPriority w:val="0"/>
    <w:pPr>
      <w:spacing w:after="150" w:line="454" w:lineRule="auto"/>
      <w:ind w:firstLine="400"/>
    </w:pPr>
    <w:rPr>
      <w:rFonts w:ascii="宋体" w:hAnsi="宋体" w:cs="宋体"/>
      <w:sz w:val="22"/>
      <w:lang w:val="zh-TW" w:eastAsia="zh-TW" w:bidi="zh-TW"/>
    </w:rPr>
  </w:style>
  <w:style w:type="paragraph" w:customStyle="1" w:styleId="89">
    <w:name w:val="纯文本5"/>
    <w:basedOn w:val="1"/>
    <w:qFormat/>
    <w:uiPriority w:val="0"/>
    <w:pPr>
      <w:adjustRightInd w:val="0"/>
      <w:textAlignment w:val="baseline"/>
    </w:pPr>
    <w:rPr>
      <w:rFonts w:ascii="宋体" w:hAnsi="Courier New"/>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43</Pages>
  <Words>5965</Words>
  <Characters>6262</Characters>
  <Lines>194</Lines>
  <Paragraphs>54</Paragraphs>
  <TotalTime>21</TotalTime>
  <ScaleCrop>false</ScaleCrop>
  <LinksUpToDate>false</LinksUpToDate>
  <CharactersWithSpaces>6404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2024-12-17T08:13:00Z</dcterms:created>
  <dc:creator>USER-</dc:creator>
  <cp:lastModifiedBy>user</cp:lastModifiedBy>
  <cp:lastPrinted>2023-03-29T07:43:00Z</cp:lastPrinted>
  <dcterms:modified xsi:type="dcterms:W3CDTF">2025-01-15T03:22:30Z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D6622A74EC3E4FE08B9240573A073518_13</vt:lpwstr>
  </property>
  <property fmtid="{D5CDD505-2E9C-101B-9397-08002B2CF9AE}" pid="4" name="KSOTemplateDocerSaveRecord">
    <vt:lpwstr>eyJoZGlkIjoiMDk2MjgxNDhjYWQ4NDVkNDFhYmIxZTZkOGVhOTU0NmYifQ==</vt:lpwstr>
  </property>
</Properties>
</file>